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632" w:type="dxa"/>
        <w:tblInd w:w="-318" w:type="dxa"/>
        <w:tblLook w:val="04A0"/>
      </w:tblPr>
      <w:tblGrid>
        <w:gridCol w:w="3828"/>
        <w:gridCol w:w="142"/>
        <w:gridCol w:w="6662"/>
      </w:tblGrid>
      <w:tr w:rsidR="005D6B43" w:rsidTr="006F0547">
        <w:tc>
          <w:tcPr>
            <w:tcW w:w="10632" w:type="dxa"/>
            <w:gridSpan w:val="3"/>
          </w:tcPr>
          <w:p w:rsidR="005D6B43" w:rsidRPr="005D6B43" w:rsidRDefault="005D6B43" w:rsidP="005D6B43">
            <w:pPr>
              <w:jc w:val="center"/>
              <w:rPr>
                <w:b/>
              </w:rPr>
            </w:pPr>
            <w:r w:rsidRPr="005D6B43">
              <w:rPr>
                <w:b/>
              </w:rPr>
              <w:t>SCHEDA PRESENTAZIONE BUONE PRASSI</w:t>
            </w:r>
          </w:p>
        </w:tc>
      </w:tr>
      <w:tr w:rsidR="0049320E" w:rsidTr="00AF5EB9">
        <w:tc>
          <w:tcPr>
            <w:tcW w:w="3970" w:type="dxa"/>
            <w:gridSpan w:val="2"/>
          </w:tcPr>
          <w:p w:rsidR="0049320E" w:rsidRPr="00AF5EB9" w:rsidRDefault="00AF5EB9">
            <w:pPr>
              <w:rPr>
                <w:b/>
              </w:rPr>
            </w:pPr>
            <w:r w:rsidRPr="00AF5EB9">
              <w:rPr>
                <w:b/>
              </w:rPr>
              <w:t>Formatore che presenta la prassi</w:t>
            </w:r>
          </w:p>
        </w:tc>
        <w:tc>
          <w:tcPr>
            <w:tcW w:w="6662" w:type="dxa"/>
          </w:tcPr>
          <w:p w:rsidR="0049320E" w:rsidRDefault="00A90337">
            <w:r>
              <w:t>Marco Aliotta</w:t>
            </w:r>
          </w:p>
        </w:tc>
      </w:tr>
      <w:tr w:rsidR="005D6B43" w:rsidTr="00AF5EB9">
        <w:tc>
          <w:tcPr>
            <w:tcW w:w="3970" w:type="dxa"/>
            <w:gridSpan w:val="2"/>
          </w:tcPr>
          <w:p w:rsidR="005D6B43" w:rsidRDefault="005D6B43">
            <w:r>
              <w:t>Titolo attività</w:t>
            </w:r>
          </w:p>
        </w:tc>
        <w:tc>
          <w:tcPr>
            <w:tcW w:w="6662" w:type="dxa"/>
          </w:tcPr>
          <w:p w:rsidR="005D6B43" w:rsidRDefault="006D57CB">
            <w:r>
              <w:t>COMUNITA’ CHE INNOVANO</w:t>
            </w:r>
          </w:p>
        </w:tc>
      </w:tr>
      <w:tr w:rsidR="005D6B43" w:rsidTr="00AF5EB9">
        <w:tc>
          <w:tcPr>
            <w:tcW w:w="3970" w:type="dxa"/>
            <w:gridSpan w:val="2"/>
          </w:tcPr>
          <w:p w:rsidR="005D6B43" w:rsidRDefault="005D6B43">
            <w:r>
              <w:t>Quando è stata realizzata</w:t>
            </w:r>
          </w:p>
        </w:tc>
        <w:tc>
          <w:tcPr>
            <w:tcW w:w="6662" w:type="dxa"/>
          </w:tcPr>
          <w:p w:rsidR="005D6B43" w:rsidRDefault="005C228A">
            <w:r>
              <w:t>Da maggio 2016 (conclusione dicembre 2017)</w:t>
            </w:r>
          </w:p>
        </w:tc>
      </w:tr>
      <w:tr w:rsidR="005D6B43" w:rsidTr="00AF5EB9">
        <w:tc>
          <w:tcPr>
            <w:tcW w:w="3970" w:type="dxa"/>
            <w:gridSpan w:val="2"/>
          </w:tcPr>
          <w:p w:rsidR="005D6B43" w:rsidRDefault="005D6B43">
            <w:r>
              <w:t>Dove è stata realizzata</w:t>
            </w:r>
          </w:p>
        </w:tc>
        <w:tc>
          <w:tcPr>
            <w:tcW w:w="6662" w:type="dxa"/>
          </w:tcPr>
          <w:p w:rsidR="005D6B43" w:rsidRDefault="005C228A">
            <w:r>
              <w:t>Torino, Biella, Saluzzo, Senigallia, Trieste, Messina, Atene (prossime tappe Sarajevo, Vienna)</w:t>
            </w:r>
          </w:p>
        </w:tc>
      </w:tr>
      <w:tr w:rsidR="005D6B43" w:rsidTr="00AF5EB9">
        <w:tc>
          <w:tcPr>
            <w:tcW w:w="3970" w:type="dxa"/>
            <w:gridSpan w:val="2"/>
          </w:tcPr>
          <w:p w:rsidR="005D6B43" w:rsidRDefault="005D6B43">
            <w:r>
              <w:t>Committenza (chi ha commissionato la realizzazione)</w:t>
            </w:r>
          </w:p>
        </w:tc>
        <w:tc>
          <w:tcPr>
            <w:tcW w:w="6662" w:type="dxa"/>
          </w:tcPr>
          <w:p w:rsidR="005D6B43" w:rsidRDefault="005C228A">
            <w:r>
              <w:t xml:space="preserve">Comitato S-nodi (Caritas Torino), Caritas Biella, Caritas Saluzzo, Caritas Senigallia, Caritas Trieste, Caritas Verona </w:t>
            </w:r>
          </w:p>
        </w:tc>
      </w:tr>
      <w:tr w:rsidR="005D6B43" w:rsidTr="00AF5EB9">
        <w:tc>
          <w:tcPr>
            <w:tcW w:w="3970" w:type="dxa"/>
            <w:gridSpan w:val="2"/>
          </w:tcPr>
          <w:p w:rsidR="005D6B43" w:rsidRDefault="005D6B43">
            <w:r>
              <w:t>Bisogno espresso dalla committenza</w:t>
            </w:r>
          </w:p>
        </w:tc>
        <w:tc>
          <w:tcPr>
            <w:tcW w:w="6662" w:type="dxa"/>
          </w:tcPr>
          <w:p w:rsidR="005D6B43" w:rsidRPr="009B5D3F" w:rsidRDefault="005C228A" w:rsidP="009B5D3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</w:tabs>
              <w:spacing w:after="0" w:line="100" w:lineRule="atLeast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805B76">
              <w:rPr>
                <w:rFonts w:asciiTheme="minorHAnsi" w:hAnsiTheme="minorHAnsi"/>
                <w:sz w:val="22"/>
                <w:szCs w:val="22"/>
              </w:rPr>
              <w:t>È ormai chiaro che gli interventi di contrasto alla povertà non possano essere più realizzati come avveniva prima della crisi. È comune la consapevolezza che, per produrre risposte efficaci, i processi debbano coinvolgere non solo singole persone in difficoltà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 singoli organismi del terzo settore</w:t>
            </w:r>
            <w:r w:rsidRPr="00805B76">
              <w:rPr>
                <w:rFonts w:asciiTheme="minorHAnsi" w:hAnsiTheme="minorHAnsi"/>
                <w:sz w:val="22"/>
                <w:szCs w:val="22"/>
              </w:rPr>
              <w:t xml:space="preserve">, ma interi sistemi territoriali. Accanto ad azioni puntuali rivolte a persone e famiglie, è necessario attivare sinergie multilivello che cerchino soluzioni a problemi di interesse collettivo. In questo modo è possibile andare oltre la prospettiva dell’assistenza, riattivando pratiche di reciprocità </w:t>
            </w:r>
            <w:r>
              <w:rPr>
                <w:rFonts w:asciiTheme="minorHAnsi" w:hAnsiTheme="minorHAnsi"/>
                <w:sz w:val="22"/>
                <w:szCs w:val="22"/>
              </w:rPr>
              <w:t>che vadano nella direzione della riduzione della povertà e producano</w:t>
            </w:r>
            <w:r w:rsidRPr="00805B76">
              <w:rPr>
                <w:rFonts w:asciiTheme="minorHAnsi" w:hAnsiTheme="minorHAnsi"/>
                <w:sz w:val="22"/>
                <w:szCs w:val="22"/>
              </w:rPr>
              <w:t xml:space="preserve"> contemporaneamente valore sociale e valore economico.</w:t>
            </w:r>
          </w:p>
        </w:tc>
      </w:tr>
      <w:tr w:rsidR="002256FE" w:rsidTr="00AF5EB9">
        <w:tc>
          <w:tcPr>
            <w:tcW w:w="3970" w:type="dxa"/>
            <w:gridSpan w:val="2"/>
          </w:tcPr>
          <w:p w:rsidR="002256FE" w:rsidRDefault="002256FE">
            <w:r>
              <w:t xml:space="preserve">Obiettivo </w:t>
            </w:r>
            <w:r w:rsidR="002866F5">
              <w:t>concordato</w:t>
            </w:r>
          </w:p>
        </w:tc>
        <w:tc>
          <w:tcPr>
            <w:tcW w:w="6662" w:type="dxa"/>
          </w:tcPr>
          <w:p w:rsidR="002256FE" w:rsidRPr="005C228A" w:rsidRDefault="005C228A" w:rsidP="005C228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</w:tabs>
              <w:spacing w:after="0" w:line="1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5C228A">
              <w:rPr>
                <w:rFonts w:asciiTheme="minorHAnsi" w:hAnsiTheme="minorHAnsi"/>
                <w:sz w:val="22"/>
                <w:szCs w:val="22"/>
              </w:rPr>
              <w:t xml:space="preserve">ensibilizzare i giovani al coinvolgimento nella cura delle proprie comunità, sviluppando le loro competenze di lettura e risposta ai bisogni del territorio, e la loro intraprendenza </w:t>
            </w:r>
            <w:r>
              <w:rPr>
                <w:rFonts w:asciiTheme="minorHAnsi" w:hAnsiTheme="minorHAnsi"/>
                <w:sz w:val="22"/>
                <w:szCs w:val="22"/>
              </w:rPr>
              <w:t>come professionisti o cittadini, individuando, sostenendo e mettendo</w:t>
            </w:r>
            <w:r w:rsidRPr="005C228A">
              <w:rPr>
                <w:rFonts w:asciiTheme="minorHAnsi" w:hAnsiTheme="minorHAnsi"/>
                <w:sz w:val="22"/>
                <w:szCs w:val="22"/>
              </w:rPr>
              <w:t xml:space="preserve"> in rete esperienze innovative di comunità locali che rispondono in modo efficace ai nuovi bisogni sociali.</w:t>
            </w:r>
          </w:p>
        </w:tc>
      </w:tr>
      <w:tr w:rsidR="005D6B43" w:rsidTr="00AF5EB9">
        <w:tc>
          <w:tcPr>
            <w:tcW w:w="3970" w:type="dxa"/>
            <w:gridSpan w:val="2"/>
          </w:tcPr>
          <w:p w:rsidR="005D6B43" w:rsidRDefault="005D6B43">
            <w:r>
              <w:t>Elementi salienti della fase progettuale</w:t>
            </w:r>
          </w:p>
        </w:tc>
        <w:tc>
          <w:tcPr>
            <w:tcW w:w="6662" w:type="dxa"/>
          </w:tcPr>
          <w:p w:rsidR="00DD62AC" w:rsidRPr="00DD62AC" w:rsidRDefault="00DD62AC" w:rsidP="002779DA">
            <w:pPr>
              <w:rPr>
                <w:sz w:val="22"/>
                <w:szCs w:val="22"/>
              </w:rPr>
            </w:pPr>
            <w:r w:rsidRPr="00DD62AC">
              <w:rPr>
                <w:sz w:val="22"/>
                <w:szCs w:val="22"/>
              </w:rPr>
              <w:t xml:space="preserve">Il progetto nasce dalla messa a sistema di alcune esperienze significative per la promozione di azioni innovative in contesti Caritas: </w:t>
            </w:r>
          </w:p>
          <w:p w:rsidR="00DD62AC" w:rsidRPr="00DD62AC" w:rsidRDefault="00DD62AC" w:rsidP="00DD62AC">
            <w:pPr>
              <w:pStyle w:val="Normale1"/>
              <w:numPr>
                <w:ilvl w:val="0"/>
                <w:numId w:val="4"/>
              </w:num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</w:tabs>
              <w:spacing w:after="0" w:line="100" w:lineRule="atLeast"/>
              <w:ind w:left="204" w:hanging="23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D62AC">
              <w:rPr>
                <w:rFonts w:asciiTheme="minorHAnsi" w:hAnsiTheme="minorHAnsi"/>
                <w:sz w:val="22"/>
                <w:szCs w:val="22"/>
              </w:rPr>
              <w:t>Esperienza di Azioni di Sistema a Torino ed in particolare della Scuola S-nodi su Innovazione Sociale, Welfare di Comunità e Generatività;</w:t>
            </w:r>
          </w:p>
          <w:p w:rsidR="00DD62AC" w:rsidRDefault="00DD62AC" w:rsidP="00DD62AC">
            <w:pPr>
              <w:pStyle w:val="Normale1"/>
              <w:numPr>
                <w:ilvl w:val="0"/>
                <w:numId w:val="4"/>
              </w:num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</w:tabs>
              <w:spacing w:after="0" w:line="100" w:lineRule="atLeast"/>
              <w:ind w:left="204" w:hanging="23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D62AC">
              <w:rPr>
                <w:rFonts w:asciiTheme="minorHAnsi" w:hAnsiTheme="minorHAnsi"/>
                <w:sz w:val="22"/>
                <w:szCs w:val="22"/>
              </w:rPr>
              <w:t>Esperienza della Comunità professionale Europa sul tema dell’Innovazione Sociale Caritas (mappatura dei progetti Caritas di innovazione sociale);</w:t>
            </w:r>
          </w:p>
          <w:p w:rsidR="009B5D3F" w:rsidRPr="00DD62AC" w:rsidRDefault="009B5D3F" w:rsidP="00DD62AC">
            <w:pPr>
              <w:pStyle w:val="Normale1"/>
              <w:numPr>
                <w:ilvl w:val="0"/>
                <w:numId w:val="4"/>
              </w:num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</w:tabs>
              <w:spacing w:after="0" w:line="100" w:lineRule="atLeast"/>
              <w:ind w:left="204" w:hanging="23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Attivazione del progetto E.L.BA  di promozione dell’Innovazione sociale nel Balcani di Caritas Italiana;</w:t>
            </w:r>
          </w:p>
          <w:p w:rsidR="00DD62AC" w:rsidRPr="00DD62AC" w:rsidRDefault="00DD62AC" w:rsidP="00DD62AC">
            <w:pPr>
              <w:pStyle w:val="Normale1"/>
              <w:numPr>
                <w:ilvl w:val="0"/>
                <w:numId w:val="4"/>
              </w:num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</w:tabs>
              <w:spacing w:after="0" w:line="100" w:lineRule="atLeast"/>
              <w:ind w:left="204" w:hanging="23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D62AC">
              <w:rPr>
                <w:rFonts w:asciiTheme="minorHAnsi" w:hAnsiTheme="minorHAnsi"/>
                <w:sz w:val="22"/>
                <w:szCs w:val="22"/>
              </w:rPr>
              <w:t>Partecipazione alla Task Force on Social Innovation and Social Economy di Caritas Europa;</w:t>
            </w:r>
          </w:p>
          <w:p w:rsidR="002779DA" w:rsidRPr="009B5D3F" w:rsidRDefault="00DD62AC" w:rsidP="00DD62AC">
            <w:pPr>
              <w:pStyle w:val="Normale1"/>
              <w:numPr>
                <w:ilvl w:val="0"/>
                <w:numId w:val="4"/>
              </w:num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</w:tabs>
              <w:spacing w:after="0" w:line="100" w:lineRule="atLeast"/>
              <w:ind w:left="204" w:hanging="23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D62AC">
              <w:rPr>
                <w:rFonts w:asciiTheme="minorHAnsi" w:hAnsiTheme="minorHAnsi"/>
                <w:sz w:val="22"/>
                <w:szCs w:val="22"/>
              </w:rPr>
              <w:t xml:space="preserve">Esperienza </w:t>
            </w:r>
            <w:r w:rsidR="002779DA" w:rsidRPr="00DD62AC">
              <w:rPr>
                <w:rFonts w:asciiTheme="minorHAnsi" w:hAnsiTheme="minorHAnsi"/>
                <w:sz w:val="22"/>
                <w:szCs w:val="22"/>
              </w:rPr>
              <w:t>Young Caritas</w:t>
            </w:r>
            <w:r w:rsidRPr="00DD62A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5D3F" w:rsidRPr="009B5D3F" w:rsidRDefault="009B5D3F" w:rsidP="009B5D3F">
            <w:pPr>
              <w:pStyle w:val="Normale1"/>
              <w:numPr>
                <w:ilvl w:val="0"/>
                <w:numId w:val="4"/>
              </w:num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</w:tabs>
              <w:spacing w:after="0" w:line="100" w:lineRule="atLeast"/>
              <w:ind w:left="204" w:hanging="23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Dalla partecipazione dei soggetti coinvolti in questi percorsi è nata l’esigenza di costruire processi formativi rivolti a giovani 18-25 anni, </w:t>
            </w:r>
            <w:r w:rsidRPr="009B5D3F">
              <w:rPr>
                <w:rFonts w:asciiTheme="minorHAnsi" w:hAnsiTheme="minorHAnsi"/>
                <w:sz w:val="22"/>
                <w:szCs w:val="22"/>
              </w:rPr>
              <w:t>interessati a operare nel sociale a titolo professionale o come cittadini.</w:t>
            </w:r>
          </w:p>
          <w:p w:rsidR="009B5D3F" w:rsidRDefault="009B5D3F" w:rsidP="00DD62AC">
            <w:pPr>
              <w:pStyle w:val="Normale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</w:tabs>
              <w:spacing w:after="0" w:line="1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B5D3F" w:rsidRDefault="009B5D3F" w:rsidP="00DD62AC">
            <w:pPr>
              <w:pStyle w:val="Normale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</w:tabs>
              <w:spacing w:after="0" w:line="1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 è creato un gruppo di lavoro composto da operatori Caritas impegnati in attività di animazione e di referenti della progettazione sociale per la costruzione del progetto, con attività congiunte per tutti e azioni specifiche locali.</w:t>
            </w:r>
          </w:p>
          <w:p w:rsidR="00DD62AC" w:rsidRPr="004E27C1" w:rsidRDefault="009B5D3F" w:rsidP="004E27C1">
            <w:pPr>
              <w:shd w:val="clear" w:color="auto" w:fill="FFFFFF"/>
              <w:jc w:val="both"/>
              <w:rPr>
                <w:rFonts w:eastAsia="Times New Roman" w:cs="Arial"/>
                <w:color w:val="222222"/>
              </w:rPr>
            </w:pPr>
            <w:r>
              <w:rPr>
                <w:rFonts w:eastAsia="Times New Roman" w:cs="Arial"/>
                <w:color w:val="222222"/>
              </w:rPr>
              <w:t>Costruito il percorso, si è costruito un Bando</w:t>
            </w:r>
            <w:r w:rsidRPr="001D7DBA">
              <w:rPr>
                <w:rFonts w:eastAsia="Times New Roman" w:cs="Arial"/>
                <w:color w:val="222222"/>
              </w:rPr>
              <w:t>, condiviso tra le Caritas Diocesane coinvolte</w:t>
            </w:r>
            <w:r w:rsidR="00DF284D">
              <w:rPr>
                <w:rFonts w:eastAsia="Times New Roman" w:cs="Arial"/>
                <w:color w:val="222222"/>
              </w:rPr>
              <w:t xml:space="preserve"> ed una campagna pubblicitaria su vari network, social media e testate giornalistiche (come ad esempio la rivista Vita).</w:t>
            </w:r>
          </w:p>
        </w:tc>
      </w:tr>
      <w:tr w:rsidR="005D6B43" w:rsidTr="00AF5EB9">
        <w:tc>
          <w:tcPr>
            <w:tcW w:w="3970" w:type="dxa"/>
            <w:gridSpan w:val="2"/>
          </w:tcPr>
          <w:p w:rsidR="005D6B43" w:rsidRDefault="005D6B43">
            <w:r>
              <w:t>Cosa è stato realizzato (sintesi delle varie azioni)</w:t>
            </w:r>
          </w:p>
        </w:tc>
        <w:tc>
          <w:tcPr>
            <w:tcW w:w="6662" w:type="dxa"/>
          </w:tcPr>
          <w:p w:rsidR="007C05CA" w:rsidRPr="002F4C30" w:rsidRDefault="007C05CA" w:rsidP="002F4C30">
            <w:pPr>
              <w:pStyle w:val="Normale1"/>
              <w:numPr>
                <w:ilvl w:val="0"/>
                <w:numId w:val="4"/>
              </w:num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</w:tabs>
              <w:spacing w:after="0" w:line="100" w:lineRule="atLeast"/>
              <w:ind w:left="204" w:hanging="23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4C30">
              <w:rPr>
                <w:rFonts w:asciiTheme="minorHAnsi" w:hAnsiTheme="minorHAnsi"/>
                <w:sz w:val="22"/>
                <w:szCs w:val="22"/>
              </w:rPr>
              <w:t>Incontri territoriali preparatori: la lettura delle povertà a partire dagli Osservatori delle Povertà e Risorse Caritas;</w:t>
            </w:r>
          </w:p>
          <w:p w:rsidR="007C05CA" w:rsidRDefault="007C05CA" w:rsidP="002F4C30">
            <w:pPr>
              <w:pStyle w:val="Normale1"/>
              <w:numPr>
                <w:ilvl w:val="0"/>
                <w:numId w:val="4"/>
              </w:num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</w:tabs>
              <w:spacing w:after="0" w:line="100" w:lineRule="atLeast"/>
              <w:ind w:left="204" w:hanging="23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4C30">
              <w:rPr>
                <w:rFonts w:asciiTheme="minorHAnsi" w:hAnsiTheme="minorHAnsi"/>
                <w:sz w:val="22"/>
                <w:szCs w:val="22"/>
              </w:rPr>
              <w:t>Study visit di Torino: Evoluzione delle politiche sociali</w:t>
            </w:r>
            <w:r w:rsidR="002F4C30">
              <w:rPr>
                <w:rFonts w:asciiTheme="minorHAnsi" w:hAnsiTheme="minorHAnsi"/>
                <w:sz w:val="22"/>
                <w:szCs w:val="22"/>
              </w:rPr>
              <w:t xml:space="preserve"> e c</w:t>
            </w:r>
            <w:r w:rsidRPr="002F4C30">
              <w:rPr>
                <w:rFonts w:asciiTheme="minorHAnsi" w:hAnsiTheme="minorHAnsi"/>
                <w:sz w:val="22"/>
                <w:szCs w:val="22"/>
              </w:rPr>
              <w:t>ompetenze per la lettura dei bisogni del territorio;</w:t>
            </w:r>
          </w:p>
          <w:p w:rsidR="002F4C30" w:rsidRPr="002F4C30" w:rsidRDefault="002F4C30" w:rsidP="002F4C30">
            <w:pPr>
              <w:pStyle w:val="Normale1"/>
              <w:numPr>
                <w:ilvl w:val="0"/>
                <w:numId w:val="4"/>
              </w:num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</w:tabs>
              <w:spacing w:after="0" w:line="100" w:lineRule="atLeast"/>
              <w:ind w:left="204" w:hanging="23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Incont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ri territoriali sulla mappatura delle risorse del territorio;</w:t>
            </w:r>
          </w:p>
          <w:p w:rsidR="007C05CA" w:rsidRDefault="007C05CA" w:rsidP="002F4C30">
            <w:pPr>
              <w:pStyle w:val="Normale1"/>
              <w:numPr>
                <w:ilvl w:val="0"/>
                <w:numId w:val="4"/>
              </w:num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</w:tabs>
              <w:spacing w:after="0" w:line="100" w:lineRule="atLeast"/>
              <w:ind w:left="204" w:hanging="23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4C30">
              <w:rPr>
                <w:rFonts w:asciiTheme="minorHAnsi" w:hAnsiTheme="minorHAnsi"/>
                <w:sz w:val="22"/>
                <w:szCs w:val="22"/>
              </w:rPr>
              <w:t>Study vi</w:t>
            </w:r>
            <w:r w:rsidR="002F4C30" w:rsidRPr="002F4C30">
              <w:rPr>
                <w:rFonts w:asciiTheme="minorHAnsi" w:hAnsiTheme="minorHAnsi"/>
                <w:sz w:val="22"/>
                <w:szCs w:val="22"/>
              </w:rPr>
              <w:t>sit di Senigallia su</w:t>
            </w:r>
            <w:r w:rsidRPr="002F4C30">
              <w:rPr>
                <w:rFonts w:asciiTheme="minorHAnsi" w:hAnsiTheme="minorHAnsi"/>
                <w:sz w:val="22"/>
                <w:szCs w:val="22"/>
              </w:rPr>
              <w:t xml:space="preserve"> Economia Civile;</w:t>
            </w:r>
          </w:p>
          <w:p w:rsidR="002F4C30" w:rsidRDefault="002F4C30" w:rsidP="002F4C30">
            <w:pPr>
              <w:pStyle w:val="Normale1"/>
              <w:numPr>
                <w:ilvl w:val="0"/>
                <w:numId w:val="4"/>
              </w:num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</w:tabs>
              <w:spacing w:after="0" w:line="100" w:lineRule="atLeast"/>
              <w:ind w:left="204" w:hanging="23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Incontri territoriali per la raccolta di idee progettuali di innovazione sociale;</w:t>
            </w:r>
          </w:p>
          <w:p w:rsidR="007C05CA" w:rsidRPr="00AD6236" w:rsidRDefault="007C05CA" w:rsidP="002F4C30">
            <w:pPr>
              <w:pStyle w:val="Normale1"/>
              <w:numPr>
                <w:ilvl w:val="0"/>
                <w:numId w:val="4"/>
              </w:num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</w:tabs>
              <w:spacing w:after="0" w:line="100" w:lineRule="atLeast"/>
              <w:ind w:left="204" w:hanging="23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D6236">
              <w:rPr>
                <w:rFonts w:asciiTheme="minorHAnsi" w:hAnsiTheme="minorHAnsi"/>
                <w:sz w:val="22"/>
                <w:szCs w:val="22"/>
              </w:rPr>
              <w:t xml:space="preserve">Study visit di Trieste su </w:t>
            </w:r>
            <w:r w:rsidR="002779DA" w:rsidRPr="00AD6236">
              <w:rPr>
                <w:rFonts w:asciiTheme="minorHAnsi" w:hAnsiTheme="minorHAnsi"/>
                <w:sz w:val="22"/>
                <w:szCs w:val="22"/>
              </w:rPr>
              <w:t>Metodi di attivazione comunitaria</w:t>
            </w:r>
            <w:r w:rsidR="002F4C30" w:rsidRPr="00AD6236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2F4C30" w:rsidRPr="00AD6236" w:rsidRDefault="002F4C30" w:rsidP="002F4C30">
            <w:pPr>
              <w:pStyle w:val="Normale1"/>
              <w:numPr>
                <w:ilvl w:val="0"/>
                <w:numId w:val="4"/>
              </w:num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</w:tabs>
              <w:spacing w:after="0" w:line="100" w:lineRule="atLeast"/>
              <w:ind w:left="204" w:hanging="23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D6236">
              <w:rPr>
                <w:rFonts w:asciiTheme="minorHAnsi" w:hAnsiTheme="minorHAnsi"/>
                <w:sz w:val="22"/>
                <w:szCs w:val="22"/>
              </w:rPr>
              <w:t>Incontri territoriali per l’attivazione di processi di co-creazione di interventi sociali innovativi;</w:t>
            </w:r>
          </w:p>
          <w:p w:rsidR="00AD6236" w:rsidRDefault="007C05CA" w:rsidP="00AD6236">
            <w:pPr>
              <w:pStyle w:val="Normale1"/>
              <w:numPr>
                <w:ilvl w:val="0"/>
                <w:numId w:val="4"/>
              </w:num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</w:tabs>
              <w:spacing w:after="0" w:line="100" w:lineRule="atLeast"/>
              <w:ind w:left="204" w:hanging="23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D6236">
              <w:rPr>
                <w:rFonts w:asciiTheme="minorHAnsi" w:hAnsiTheme="minorHAnsi"/>
                <w:sz w:val="22"/>
                <w:szCs w:val="22"/>
              </w:rPr>
              <w:t>Study visit di Messina su M</w:t>
            </w:r>
            <w:r w:rsidR="002779DA" w:rsidRPr="00AD6236">
              <w:rPr>
                <w:rFonts w:asciiTheme="minorHAnsi" w:hAnsiTheme="minorHAnsi"/>
                <w:sz w:val="22"/>
                <w:szCs w:val="22"/>
              </w:rPr>
              <w:t>odalità organizzative per la partecipazione atti</w:t>
            </w:r>
            <w:r w:rsidRPr="00AD6236">
              <w:rPr>
                <w:rFonts w:asciiTheme="minorHAnsi" w:hAnsiTheme="minorHAnsi"/>
                <w:sz w:val="22"/>
                <w:szCs w:val="22"/>
              </w:rPr>
              <w:t>va giovanile a livello locale</w:t>
            </w:r>
            <w:r w:rsidR="002F4C30" w:rsidRPr="00AD6236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7C05CA" w:rsidRPr="00AD6236" w:rsidRDefault="007C05CA" w:rsidP="00AD6236">
            <w:pPr>
              <w:pStyle w:val="Normale1"/>
              <w:numPr>
                <w:ilvl w:val="0"/>
                <w:numId w:val="4"/>
              </w:num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</w:tabs>
              <w:spacing w:after="0" w:line="100" w:lineRule="atLeast"/>
              <w:ind w:left="204" w:hanging="23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D6236">
              <w:rPr>
                <w:rFonts w:asciiTheme="minorHAnsi" w:hAnsiTheme="minorHAnsi"/>
                <w:sz w:val="22"/>
                <w:szCs w:val="22"/>
              </w:rPr>
              <w:t>Study visit di Atene su crisi economica</w:t>
            </w:r>
            <w:r w:rsidR="002F4C30" w:rsidRPr="00AD6236">
              <w:rPr>
                <w:rFonts w:asciiTheme="minorHAnsi" w:hAnsiTheme="minorHAnsi"/>
                <w:sz w:val="22"/>
                <w:szCs w:val="22"/>
              </w:rPr>
              <w:t xml:space="preserve"> ed emergenza profughi: </w:t>
            </w:r>
            <w:r w:rsidR="00AD6236">
              <w:rPr>
                <w:rFonts w:asciiTheme="minorHAnsi" w:hAnsiTheme="minorHAnsi"/>
                <w:sz w:val="22"/>
                <w:szCs w:val="22"/>
              </w:rPr>
              <w:t xml:space="preserve">dall'assistenza ed </w:t>
            </w:r>
            <w:r w:rsidRPr="00AD6236">
              <w:rPr>
                <w:rFonts w:asciiTheme="minorHAnsi" w:hAnsiTheme="minorHAnsi"/>
                <w:sz w:val="22"/>
                <w:szCs w:val="22"/>
              </w:rPr>
              <w:t>emergenza ad interventi di sviluppo</w:t>
            </w:r>
            <w:r w:rsidR="002F4C30" w:rsidRPr="00AD623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5D6B43" w:rsidTr="00AF5EB9">
        <w:tc>
          <w:tcPr>
            <w:tcW w:w="3970" w:type="dxa"/>
            <w:gridSpan w:val="2"/>
          </w:tcPr>
          <w:p w:rsidR="005D6B43" w:rsidRPr="00E33061" w:rsidRDefault="005D6B43">
            <w:pPr>
              <w:rPr>
                <w:highlight w:val="yellow"/>
              </w:rPr>
            </w:pPr>
            <w:r w:rsidRPr="009B5D3F">
              <w:lastRenderedPageBreak/>
              <w:t>Metodologie usate</w:t>
            </w:r>
          </w:p>
        </w:tc>
        <w:tc>
          <w:tcPr>
            <w:tcW w:w="6662" w:type="dxa"/>
          </w:tcPr>
          <w:p w:rsidR="009B5D3F" w:rsidRPr="00DF284D" w:rsidRDefault="00DF284D" w:rsidP="009B5D3F">
            <w:pPr>
              <w:jc w:val="both"/>
              <w:rPr>
                <w:rFonts w:eastAsia="Times New Roman" w:cs="Arial"/>
              </w:rPr>
            </w:pPr>
            <w:r w:rsidRPr="00DF284D">
              <w:rPr>
                <w:rFonts w:eastAsia="Times New Roman" w:cs="Arial"/>
              </w:rPr>
              <w:t>Il progetto c</w:t>
            </w:r>
            <w:r w:rsidR="009B5D3F" w:rsidRPr="00DF284D">
              <w:rPr>
                <w:rFonts w:eastAsia="Times New Roman" w:cs="Arial"/>
              </w:rPr>
              <w:t xml:space="preserve">onsiste in un </w:t>
            </w:r>
            <w:r w:rsidR="009B5D3F" w:rsidRPr="00DF284D">
              <w:rPr>
                <w:rFonts w:eastAsia="Times New Roman" w:cs="Arial"/>
                <w:b/>
              </w:rPr>
              <w:t>percorso di formazione</w:t>
            </w:r>
            <w:r w:rsidR="009B5D3F" w:rsidRPr="00DF284D">
              <w:rPr>
                <w:rFonts w:eastAsia="Times New Roman" w:cs="Arial"/>
              </w:rPr>
              <w:t>, incentrato sullo "scambio" come motore dell'apprendimento e caratterizzato dall'alternanza tra:</w:t>
            </w:r>
          </w:p>
          <w:p w:rsidR="009B5D3F" w:rsidRPr="00AD6236" w:rsidRDefault="009B5D3F" w:rsidP="00AD6236">
            <w:pPr>
              <w:pStyle w:val="Paragrafoelenco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color w:val="222222"/>
                <w:lang w:eastAsia="it-IT"/>
              </w:rPr>
            </w:pPr>
            <w:r w:rsidRPr="00DF284D">
              <w:rPr>
                <w:rFonts w:asciiTheme="minorHAnsi" w:eastAsia="Times New Roman" w:hAnsiTheme="minorHAnsi" w:cs="Arial"/>
                <w:i/>
                <w:iCs/>
                <w:color w:val="222222"/>
                <w:lang w:eastAsia="it-IT"/>
              </w:rPr>
              <w:t>study visit</w:t>
            </w:r>
            <w:r w:rsidR="00AD6236">
              <w:rPr>
                <w:rFonts w:asciiTheme="minorHAnsi" w:eastAsia="Times New Roman" w:hAnsiTheme="minorHAnsi" w:cs="Arial"/>
                <w:i/>
                <w:iCs/>
                <w:color w:val="222222"/>
                <w:lang w:eastAsia="it-IT"/>
              </w:rPr>
              <w:t xml:space="preserve"> </w:t>
            </w:r>
            <w:r w:rsidR="00AD6236" w:rsidRPr="00AD6236">
              <w:rPr>
                <w:rFonts w:asciiTheme="minorHAnsi" w:eastAsia="Times New Roman" w:hAnsiTheme="minorHAnsi" w:cs="Arial"/>
                <w:iCs/>
                <w:color w:val="222222"/>
                <w:lang w:eastAsia="it-IT"/>
              </w:rPr>
              <w:t xml:space="preserve">nazionali (Torino, Senigallia, Trieste, Sicilia) 4 nel primo anno ed europee (Atene, Sarajevo, Vienna) </w:t>
            </w:r>
            <w:r w:rsidRPr="00AD6236">
              <w:rPr>
                <w:rFonts w:asciiTheme="minorHAnsi" w:eastAsia="Times New Roman" w:hAnsiTheme="minorHAnsi" w:cs="Arial"/>
                <w:iCs/>
                <w:color w:val="222222"/>
                <w:lang w:eastAsia="it-IT"/>
              </w:rPr>
              <w:t>nei territori</w:t>
            </w:r>
            <w:r w:rsidR="00DF284D" w:rsidRPr="00AD6236">
              <w:rPr>
                <w:rFonts w:asciiTheme="minorHAnsi" w:eastAsia="Times New Roman" w:hAnsiTheme="minorHAnsi" w:cs="Arial"/>
                <w:iCs/>
                <w:color w:val="222222"/>
                <w:lang w:eastAsia="it-IT"/>
              </w:rPr>
              <w:t xml:space="preserve"> con il coinvolgimenti di soggetti che lavorano sul versante dell’innovazione</w:t>
            </w:r>
            <w:r w:rsidR="00AD6236" w:rsidRPr="00AD6236">
              <w:rPr>
                <w:rFonts w:asciiTheme="minorHAnsi" w:eastAsia="Times New Roman" w:hAnsiTheme="minorHAnsi" w:cs="Arial"/>
                <w:iCs/>
                <w:color w:val="222222"/>
                <w:lang w:eastAsia="it-IT"/>
              </w:rPr>
              <w:t xml:space="preserve"> con metodologie differente (vedi laboratori di rigenerazione urbana, teatrali sul linguaggio del corpo, di resilienza personale e territoriale, di story telling sull’errore, ecc…)</w:t>
            </w:r>
          </w:p>
          <w:p w:rsidR="009B5D3F" w:rsidRPr="00DF284D" w:rsidRDefault="009B5D3F" w:rsidP="009B5D3F">
            <w:pPr>
              <w:pStyle w:val="Paragrafoelenco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222222"/>
                <w:lang w:eastAsia="it-IT"/>
              </w:rPr>
            </w:pPr>
            <w:r w:rsidRPr="00DF284D">
              <w:rPr>
                <w:rFonts w:asciiTheme="minorHAnsi" w:eastAsia="Times New Roman" w:hAnsiTheme="minorHAnsi" w:cs="Arial"/>
                <w:i/>
                <w:iCs/>
                <w:color w:val="222222"/>
                <w:lang w:eastAsia="it-IT"/>
              </w:rPr>
              <w:t>momenti di formazione teorica proposti durante le study visit</w:t>
            </w:r>
            <w:r w:rsidRPr="00DF284D">
              <w:rPr>
                <w:rFonts w:asciiTheme="minorHAnsi" w:eastAsia="Times New Roman" w:hAnsiTheme="minorHAnsi" w:cs="Arial"/>
                <w:color w:val="222222"/>
                <w:lang w:eastAsia="it-IT"/>
              </w:rPr>
              <w:t> (temi: economia civile, lettura dei bisogni dei territori, attivazione delle comunità locali, narrazione e comunicazione dei progetti)</w:t>
            </w:r>
          </w:p>
          <w:p w:rsidR="009B5D3F" w:rsidRPr="00DF284D" w:rsidRDefault="009B5D3F" w:rsidP="009B5D3F">
            <w:pPr>
              <w:pStyle w:val="Paragrafoelenco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222222"/>
                <w:lang w:eastAsia="it-IT"/>
              </w:rPr>
            </w:pPr>
            <w:r w:rsidRPr="00DF284D">
              <w:rPr>
                <w:rFonts w:asciiTheme="minorHAnsi" w:eastAsia="Times New Roman" w:hAnsiTheme="minorHAnsi" w:cs="Arial"/>
                <w:i/>
                <w:iCs/>
                <w:color w:val="222222"/>
                <w:lang w:eastAsia="it-IT"/>
              </w:rPr>
              <w:t>stage</w:t>
            </w:r>
            <w:r w:rsidRPr="00DF284D">
              <w:rPr>
                <w:rFonts w:asciiTheme="minorHAnsi" w:eastAsia="Times New Roman" w:hAnsiTheme="minorHAnsi" w:cs="Arial"/>
                <w:color w:val="222222"/>
                <w:lang w:eastAsia="it-IT"/>
              </w:rPr>
              <w:t> continuativi di volontariato in progetti sociali esistenti nel territorio di appartenenza</w:t>
            </w:r>
          </w:p>
          <w:p w:rsidR="009B5D3F" w:rsidRPr="00DF284D" w:rsidRDefault="009B5D3F" w:rsidP="009B5D3F">
            <w:pPr>
              <w:pStyle w:val="Paragrafoelenco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222222"/>
                <w:lang w:eastAsia="it-IT"/>
              </w:rPr>
            </w:pPr>
            <w:r w:rsidRPr="00DF284D">
              <w:rPr>
                <w:rFonts w:asciiTheme="minorHAnsi" w:eastAsia="Times New Roman" w:hAnsiTheme="minorHAnsi" w:cs="Arial"/>
                <w:color w:val="222222"/>
                <w:lang w:eastAsia="it-IT"/>
              </w:rPr>
              <w:t>incontri di</w:t>
            </w:r>
            <w:r w:rsidRPr="00DF284D">
              <w:rPr>
                <w:rFonts w:asciiTheme="minorHAnsi" w:eastAsia="Times New Roman" w:hAnsiTheme="minorHAnsi" w:cs="Arial"/>
                <w:i/>
                <w:iCs/>
                <w:color w:val="222222"/>
                <w:lang w:eastAsia="it-IT"/>
              </w:rPr>
              <w:t xml:space="preserve"> tutoraggio regolari in ogni territorio per la </w:t>
            </w:r>
            <w:r w:rsidRPr="00DF284D">
              <w:rPr>
                <w:rFonts w:asciiTheme="minorHAnsi" w:eastAsia="Times New Roman" w:hAnsiTheme="minorHAnsi" w:cs="Arial"/>
                <w:color w:val="222222"/>
                <w:lang w:eastAsia="it-IT"/>
              </w:rPr>
              <w:t> rielaborazione individuale e di gruppo delle esperienze di visita e di stage</w:t>
            </w:r>
          </w:p>
          <w:p w:rsidR="009B5D3F" w:rsidRPr="00DF284D" w:rsidRDefault="009B5D3F" w:rsidP="009B5D3F">
            <w:pPr>
              <w:pStyle w:val="Paragrafoelenco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222222"/>
                <w:lang w:eastAsia="it-IT"/>
              </w:rPr>
            </w:pPr>
            <w:r w:rsidRPr="00DF284D">
              <w:rPr>
                <w:rFonts w:asciiTheme="minorHAnsi" w:eastAsia="Times New Roman" w:hAnsiTheme="minorHAnsi" w:cs="Arial"/>
                <w:i/>
                <w:iCs/>
                <w:color w:val="222222"/>
                <w:lang w:eastAsia="it-IT"/>
              </w:rPr>
              <w:t xml:space="preserve">laboratori di arte-sociale </w:t>
            </w:r>
            <w:r w:rsidRPr="00DF284D">
              <w:rPr>
                <w:rFonts w:asciiTheme="minorHAnsi" w:eastAsia="Times New Roman" w:hAnsiTheme="minorHAnsi" w:cs="Arial"/>
                <w:color w:val="222222"/>
                <w:lang w:eastAsia="it-IT"/>
              </w:rPr>
              <w:t> a livello provinciale/regionale</w:t>
            </w:r>
          </w:p>
          <w:p w:rsidR="005D6B43" w:rsidRPr="004E27C1" w:rsidRDefault="009B5D3F" w:rsidP="004E27C1">
            <w:pPr>
              <w:pStyle w:val="Paragrafoelenco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222222"/>
                <w:lang w:eastAsia="it-IT"/>
              </w:rPr>
            </w:pPr>
            <w:r w:rsidRPr="00DF284D">
              <w:rPr>
                <w:rFonts w:asciiTheme="minorHAnsi" w:eastAsia="Times New Roman" w:hAnsiTheme="minorHAnsi" w:cs="Arial"/>
                <w:color w:val="222222"/>
                <w:lang w:eastAsia="it-IT"/>
              </w:rPr>
              <w:t>elaborazione di </w:t>
            </w:r>
            <w:r w:rsidRPr="00DF284D">
              <w:rPr>
                <w:rFonts w:asciiTheme="minorHAnsi" w:eastAsia="Times New Roman" w:hAnsiTheme="minorHAnsi" w:cs="Arial"/>
                <w:i/>
                <w:iCs/>
                <w:color w:val="222222"/>
                <w:lang w:eastAsia="it-IT"/>
              </w:rPr>
              <w:t>proposte di azioni di prossimità</w:t>
            </w:r>
            <w:r w:rsidRPr="00DF284D">
              <w:rPr>
                <w:rFonts w:asciiTheme="minorHAnsi" w:eastAsia="Times New Roman" w:hAnsiTheme="minorHAnsi" w:cs="Arial"/>
                <w:color w:val="222222"/>
                <w:lang w:eastAsia="it-IT"/>
              </w:rPr>
              <w:t> da parte dei giovani stessi, a integrazione dei progetti esistenti; discussione e </w:t>
            </w:r>
            <w:r w:rsidRPr="00DF284D">
              <w:rPr>
                <w:rFonts w:asciiTheme="minorHAnsi" w:eastAsia="Times New Roman" w:hAnsiTheme="minorHAnsi" w:cs="Arial"/>
                <w:i/>
                <w:iCs/>
                <w:color w:val="222222"/>
                <w:lang w:eastAsia="it-IT"/>
              </w:rPr>
              <w:t>sperimentazione</w:t>
            </w:r>
            <w:r w:rsidRPr="00DF284D">
              <w:rPr>
                <w:rFonts w:asciiTheme="minorHAnsi" w:eastAsia="Times New Roman" w:hAnsiTheme="minorHAnsi" w:cs="Arial"/>
                <w:color w:val="222222"/>
                <w:lang w:eastAsia="it-IT"/>
              </w:rPr>
              <w:t> di alcune proposte</w:t>
            </w:r>
          </w:p>
        </w:tc>
      </w:tr>
      <w:tr w:rsidR="005D6B43" w:rsidTr="00AF5EB9">
        <w:tc>
          <w:tcPr>
            <w:tcW w:w="3970" w:type="dxa"/>
            <w:gridSpan w:val="2"/>
          </w:tcPr>
          <w:p w:rsidR="005D6B43" w:rsidRPr="00E33061" w:rsidRDefault="005D6B43">
            <w:pPr>
              <w:rPr>
                <w:highlight w:val="yellow"/>
              </w:rPr>
            </w:pPr>
            <w:r w:rsidRPr="00DF284D">
              <w:t>Strumenti (eventuali) prodotti</w:t>
            </w:r>
          </w:p>
        </w:tc>
        <w:tc>
          <w:tcPr>
            <w:tcW w:w="6662" w:type="dxa"/>
          </w:tcPr>
          <w:p w:rsidR="005D6B43" w:rsidRDefault="00DF284D">
            <w:r>
              <w:t>Si sta costruendo</w:t>
            </w:r>
            <w:r w:rsidR="004E27C1">
              <w:t xml:space="preserve"> assieme a</w:t>
            </w:r>
            <w:r>
              <w:t>i partecipanti una piece teatrale che racconterà all’esterno il percorso realizzato</w:t>
            </w:r>
          </w:p>
        </w:tc>
      </w:tr>
      <w:tr w:rsidR="005D6B43" w:rsidTr="00AF5EB9">
        <w:tc>
          <w:tcPr>
            <w:tcW w:w="3970" w:type="dxa"/>
            <w:gridSpan w:val="2"/>
          </w:tcPr>
          <w:p w:rsidR="005D6B43" w:rsidRDefault="005D6B43">
            <w:r>
              <w:t>Soggetti coinvolti</w:t>
            </w:r>
          </w:p>
        </w:tc>
        <w:tc>
          <w:tcPr>
            <w:tcW w:w="6662" w:type="dxa"/>
          </w:tcPr>
          <w:p w:rsidR="005D6B43" w:rsidRPr="002779DA" w:rsidRDefault="002779DA" w:rsidP="002779DA">
            <w:pPr>
              <w:pStyle w:val="Normale1"/>
              <w:numPr>
                <w:ilvl w:val="0"/>
                <w:numId w:val="4"/>
              </w:num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</w:tabs>
              <w:spacing w:after="0" w:line="100" w:lineRule="atLeast"/>
              <w:ind w:left="204" w:hanging="23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Asai Torino</w:t>
            </w:r>
          </w:p>
          <w:p w:rsidR="00B612B7" w:rsidRPr="002779DA" w:rsidRDefault="00B612B7" w:rsidP="002779DA">
            <w:pPr>
              <w:pStyle w:val="Normale1"/>
              <w:numPr>
                <w:ilvl w:val="0"/>
                <w:numId w:val="4"/>
              </w:num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</w:tabs>
              <w:spacing w:after="0" w:line="100" w:lineRule="atLeast"/>
              <w:ind w:left="204" w:hanging="23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79DA">
              <w:rPr>
                <w:rFonts w:asciiTheme="minorHAnsi" w:hAnsiTheme="minorHAnsi"/>
                <w:sz w:val="22"/>
                <w:szCs w:val="22"/>
              </w:rPr>
              <w:t>Municipale Teatro – Residenza Teatrale Leggera</w:t>
            </w:r>
          </w:p>
          <w:p w:rsidR="00B612B7" w:rsidRDefault="00B612B7" w:rsidP="002779DA">
            <w:pPr>
              <w:pStyle w:val="Normale1"/>
              <w:numPr>
                <w:ilvl w:val="0"/>
                <w:numId w:val="4"/>
              </w:num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</w:tabs>
              <w:spacing w:after="0" w:line="100" w:lineRule="atLeast"/>
              <w:ind w:left="204" w:hanging="23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79DA">
              <w:rPr>
                <w:rFonts w:asciiTheme="minorHAnsi" w:hAnsiTheme="minorHAnsi"/>
                <w:sz w:val="22"/>
                <w:szCs w:val="22"/>
              </w:rPr>
              <w:t>Scuola di Economia Civile</w:t>
            </w:r>
          </w:p>
          <w:p w:rsidR="002779DA" w:rsidRPr="002779DA" w:rsidRDefault="002779DA" w:rsidP="002779DA">
            <w:pPr>
              <w:pStyle w:val="Normale1"/>
              <w:numPr>
                <w:ilvl w:val="0"/>
                <w:numId w:val="4"/>
              </w:num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</w:tabs>
              <w:spacing w:after="0" w:line="100" w:lineRule="atLeast"/>
              <w:ind w:left="204" w:hanging="23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Stefano Zamagni (Università di Bologna)</w:t>
            </w:r>
          </w:p>
          <w:p w:rsidR="00B612B7" w:rsidRPr="002779DA" w:rsidRDefault="002779DA" w:rsidP="002779DA">
            <w:pPr>
              <w:pStyle w:val="Normale1"/>
              <w:numPr>
                <w:ilvl w:val="0"/>
                <w:numId w:val="4"/>
              </w:num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</w:tabs>
              <w:spacing w:after="0" w:line="100" w:lineRule="atLeast"/>
              <w:ind w:left="204" w:hanging="23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79DA">
              <w:rPr>
                <w:rFonts w:asciiTheme="minorHAnsi" w:hAnsiTheme="minorHAnsi"/>
                <w:sz w:val="22"/>
                <w:szCs w:val="22"/>
              </w:rPr>
              <w:t>ManifeTSo 2020 Trieste</w:t>
            </w:r>
          </w:p>
          <w:p w:rsidR="002779DA" w:rsidRDefault="002779DA" w:rsidP="002779DA">
            <w:pPr>
              <w:pStyle w:val="Normale1"/>
              <w:numPr>
                <w:ilvl w:val="0"/>
                <w:numId w:val="4"/>
              </w:num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</w:tabs>
              <w:spacing w:after="0" w:line="100" w:lineRule="atLeast"/>
              <w:ind w:left="204" w:hanging="23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79DA">
              <w:rPr>
                <w:rFonts w:asciiTheme="minorHAnsi" w:hAnsiTheme="minorHAnsi"/>
                <w:sz w:val="22"/>
                <w:szCs w:val="22"/>
              </w:rPr>
              <w:t>Kallipolis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Trieste</w:t>
            </w:r>
          </w:p>
          <w:p w:rsidR="002779DA" w:rsidRDefault="002779DA" w:rsidP="002779DA">
            <w:pPr>
              <w:pStyle w:val="Normale1"/>
              <w:numPr>
                <w:ilvl w:val="0"/>
                <w:numId w:val="4"/>
              </w:num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</w:tabs>
              <w:spacing w:after="0" w:line="100" w:lineRule="atLeast"/>
              <w:ind w:left="204" w:hanging="23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Cooperativa La Melograna Trieste</w:t>
            </w:r>
          </w:p>
          <w:p w:rsidR="007C05CA" w:rsidRDefault="007C05CA" w:rsidP="002779DA">
            <w:pPr>
              <w:pStyle w:val="Normale1"/>
              <w:numPr>
                <w:ilvl w:val="0"/>
                <w:numId w:val="4"/>
              </w:num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</w:tabs>
              <w:spacing w:after="0" w:line="100" w:lineRule="atLeast"/>
              <w:ind w:left="204" w:hanging="23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Lister, Sartoria Sociale Trieste</w:t>
            </w:r>
          </w:p>
          <w:p w:rsidR="002779DA" w:rsidRPr="002779DA" w:rsidRDefault="002779DA" w:rsidP="002779DA">
            <w:pPr>
              <w:pStyle w:val="Normale1"/>
              <w:numPr>
                <w:ilvl w:val="0"/>
                <w:numId w:val="4"/>
              </w:num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</w:tabs>
              <w:spacing w:after="0" w:line="100" w:lineRule="atLeast"/>
              <w:ind w:left="204" w:hanging="23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Alessandro Sicora (Università della Calabria)</w:t>
            </w:r>
          </w:p>
          <w:p w:rsidR="002779DA" w:rsidRPr="002779DA" w:rsidRDefault="002779DA" w:rsidP="002779DA">
            <w:pPr>
              <w:pStyle w:val="Normale1"/>
              <w:numPr>
                <w:ilvl w:val="0"/>
                <w:numId w:val="4"/>
              </w:num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</w:tabs>
              <w:spacing w:after="0" w:line="100" w:lineRule="atLeast"/>
              <w:ind w:left="204" w:hanging="23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79DA">
              <w:rPr>
                <w:rFonts w:asciiTheme="minorHAnsi" w:hAnsiTheme="minorHAnsi"/>
                <w:sz w:val="22"/>
                <w:szCs w:val="22"/>
              </w:rPr>
              <w:t>Fondazione di Comunità di Messina</w:t>
            </w:r>
          </w:p>
          <w:p w:rsidR="002779DA" w:rsidRPr="002779DA" w:rsidRDefault="002779DA" w:rsidP="002779DA">
            <w:pPr>
              <w:pStyle w:val="Normale1"/>
              <w:numPr>
                <w:ilvl w:val="0"/>
                <w:numId w:val="4"/>
              </w:num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</w:tabs>
              <w:spacing w:after="0" w:line="100" w:lineRule="atLeast"/>
              <w:ind w:left="204" w:hanging="23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79DA">
              <w:rPr>
                <w:rFonts w:asciiTheme="minorHAnsi" w:hAnsiTheme="minorHAnsi"/>
                <w:sz w:val="22"/>
                <w:szCs w:val="22"/>
              </w:rPr>
              <w:t>Caritas Grecia</w:t>
            </w:r>
          </w:p>
          <w:p w:rsidR="002779DA" w:rsidRPr="002779DA" w:rsidRDefault="002779DA" w:rsidP="002779DA">
            <w:pPr>
              <w:pStyle w:val="Normale1"/>
              <w:numPr>
                <w:ilvl w:val="0"/>
                <w:numId w:val="4"/>
              </w:num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</w:tabs>
              <w:spacing w:after="0" w:line="100" w:lineRule="atLeast"/>
              <w:ind w:left="204" w:hanging="23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79DA">
              <w:rPr>
                <w:rFonts w:asciiTheme="minorHAnsi" w:hAnsiTheme="minorHAnsi"/>
                <w:sz w:val="22"/>
                <w:szCs w:val="22"/>
              </w:rPr>
              <w:t>Caritas Bosnia ed Erzegovina</w:t>
            </w:r>
          </w:p>
          <w:p w:rsidR="002779DA" w:rsidRPr="00A90337" w:rsidRDefault="002779DA" w:rsidP="002779DA">
            <w:pPr>
              <w:pStyle w:val="Normale1"/>
              <w:numPr>
                <w:ilvl w:val="0"/>
                <w:numId w:val="4"/>
              </w:num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</w:tabs>
              <w:spacing w:after="0" w:line="100" w:lineRule="atLeast"/>
              <w:ind w:left="204" w:hanging="232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2779DA">
              <w:rPr>
                <w:rFonts w:asciiTheme="minorHAnsi" w:hAnsiTheme="minorHAnsi"/>
                <w:sz w:val="22"/>
                <w:szCs w:val="22"/>
              </w:rPr>
              <w:t>Caritas Vienna</w:t>
            </w:r>
          </w:p>
          <w:p w:rsidR="00A90337" w:rsidRPr="00B612B7" w:rsidRDefault="00A90337" w:rsidP="002779DA">
            <w:pPr>
              <w:pStyle w:val="Normale1"/>
              <w:numPr>
                <w:ilvl w:val="0"/>
                <w:numId w:val="4"/>
              </w:num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</w:tabs>
              <w:spacing w:after="0" w:line="100" w:lineRule="atLeast"/>
              <w:ind w:left="204" w:hanging="232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Caritas Bolzano - Bressanone</w:t>
            </w:r>
          </w:p>
        </w:tc>
      </w:tr>
      <w:tr w:rsidR="005D6B43" w:rsidTr="006F0547">
        <w:tc>
          <w:tcPr>
            <w:tcW w:w="10632" w:type="dxa"/>
            <w:gridSpan w:val="3"/>
          </w:tcPr>
          <w:p w:rsidR="005D6B43" w:rsidRDefault="005D6B43">
            <w:r>
              <w:t>Analisi SWOT</w:t>
            </w:r>
            <w:r w:rsidR="00CD67E0">
              <w:t>, ovvero, Valutazione generale dell’attività</w:t>
            </w:r>
          </w:p>
        </w:tc>
      </w:tr>
      <w:tr w:rsidR="005D6B43" w:rsidTr="006F0547">
        <w:tc>
          <w:tcPr>
            <w:tcW w:w="10632" w:type="dxa"/>
            <w:gridSpan w:val="3"/>
          </w:tcPr>
          <w:tbl>
            <w:tblPr>
              <w:tblpPr w:leftFromText="141" w:rightFromText="141" w:vertAnchor="page" w:horzAnchor="page" w:tblpX="482" w:tblpY="61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42"/>
              <w:gridCol w:w="4262"/>
              <w:gridCol w:w="942"/>
            </w:tblGrid>
            <w:tr w:rsidR="005D6B43" w:rsidTr="005D6B43">
              <w:trPr>
                <w:cantSplit/>
                <w:trHeight w:val="2592"/>
              </w:trPr>
              <w:tc>
                <w:tcPr>
                  <w:tcW w:w="4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B43" w:rsidRPr="004E27C1" w:rsidRDefault="005D6B43" w:rsidP="00AD6236">
                  <w:pPr>
                    <w:rPr>
                      <w:rFonts w:ascii="Cambria" w:hAnsi="Cambria"/>
                      <w:i/>
                    </w:rPr>
                  </w:pPr>
                  <w:r w:rsidRPr="004E27C1">
                    <w:rPr>
                      <w:rFonts w:ascii="Cambria" w:hAnsi="Cambria"/>
                      <w:i/>
                    </w:rPr>
                    <w:lastRenderedPageBreak/>
                    <w:t>Opportunità</w:t>
                  </w:r>
                </w:p>
                <w:p w:rsidR="00AD6236" w:rsidRPr="004E27C1" w:rsidRDefault="004E27C1" w:rsidP="00AD6236">
                  <w:pPr>
                    <w:pStyle w:val="Paragrafoelenco"/>
                    <w:numPr>
                      <w:ilvl w:val="0"/>
                      <w:numId w:val="7"/>
                    </w:numPr>
                    <w:ind w:left="454"/>
                    <w:rPr>
                      <w:rFonts w:ascii="Cambria" w:hAnsi="Cambria"/>
                    </w:rPr>
                  </w:pPr>
                  <w:r w:rsidRPr="004E27C1">
                    <w:rPr>
                      <w:rFonts w:ascii="Cambria" w:hAnsi="Cambria"/>
                    </w:rPr>
                    <w:t>La c</w:t>
                  </w:r>
                  <w:r w:rsidR="00AD6236" w:rsidRPr="004E27C1">
                    <w:rPr>
                      <w:rFonts w:ascii="Cambria" w:hAnsi="Cambria"/>
                    </w:rPr>
                    <w:t xml:space="preserve">o-costruzione e </w:t>
                  </w:r>
                  <w:r w:rsidR="002E2927" w:rsidRPr="004E27C1">
                    <w:rPr>
                      <w:rFonts w:ascii="Cambria" w:hAnsi="Cambria"/>
                    </w:rPr>
                    <w:t>corresponsabilità del processo formativo di una ampia rete di soggetti del territorio non facenti parte della rete Caritas</w:t>
                  </w:r>
                  <w:r w:rsidRPr="004E27C1">
                    <w:rPr>
                      <w:rFonts w:ascii="Cambria" w:hAnsi="Cambria"/>
                    </w:rPr>
                    <w:t xml:space="preserve"> amplia gli orizzonti e attiva processi generativi.</w:t>
                  </w:r>
                </w:p>
                <w:p w:rsidR="005D6B43" w:rsidRPr="004E27C1" w:rsidRDefault="005D6B43" w:rsidP="002E2927">
                  <w:pPr>
                    <w:ind w:left="94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6B43" w:rsidRPr="004E27C1" w:rsidRDefault="005D6B43" w:rsidP="00AD6236">
                  <w:pPr>
                    <w:rPr>
                      <w:rFonts w:ascii="Cambria" w:hAnsi="Cambria"/>
                      <w:i/>
                    </w:rPr>
                  </w:pPr>
                  <w:r w:rsidRPr="004E27C1">
                    <w:rPr>
                      <w:rFonts w:ascii="Cambria" w:hAnsi="Cambria"/>
                      <w:i/>
                    </w:rPr>
                    <w:t>Minacce</w:t>
                  </w:r>
                </w:p>
                <w:p w:rsidR="00AD6236" w:rsidRPr="004E27C1" w:rsidRDefault="002E2927" w:rsidP="002E2927">
                  <w:pPr>
                    <w:pStyle w:val="Paragrafoelenco"/>
                    <w:numPr>
                      <w:ilvl w:val="0"/>
                      <w:numId w:val="7"/>
                    </w:numPr>
                    <w:ind w:left="454"/>
                    <w:rPr>
                      <w:rFonts w:ascii="Cambria" w:hAnsi="Cambria"/>
                      <w:i/>
                    </w:rPr>
                  </w:pPr>
                  <w:r w:rsidRPr="004E27C1">
                    <w:rPr>
                      <w:rFonts w:ascii="Cambria" w:hAnsi="Cambria"/>
                    </w:rPr>
                    <w:t xml:space="preserve">I territori dei partner coinvolti sono molto diversi per welfare, tessuti sociali e realtà/progetti presenti, storia della Diocesi/Caritas. Questo rende complessa la ricaduta operativa delle proposte formative 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D6B43" w:rsidRDefault="005D6B43" w:rsidP="005D6B43">
                  <w:pPr>
                    <w:ind w:left="113" w:right="113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Fonti esterne </w:t>
                  </w:r>
                </w:p>
                <w:p w:rsidR="005D6B43" w:rsidRDefault="005D6B43" w:rsidP="005D6B43">
                  <w:pPr>
                    <w:ind w:left="113" w:right="113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(non controllabili)</w:t>
                  </w:r>
                </w:p>
              </w:tc>
            </w:tr>
            <w:tr w:rsidR="005D6B43" w:rsidTr="005D6B43">
              <w:trPr>
                <w:cantSplit/>
                <w:trHeight w:val="2557"/>
              </w:trPr>
              <w:tc>
                <w:tcPr>
                  <w:tcW w:w="4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B43" w:rsidRPr="00AD6236" w:rsidRDefault="005D6B43" w:rsidP="00A90337">
                  <w:pPr>
                    <w:rPr>
                      <w:rFonts w:ascii="Cambria" w:hAnsi="Cambria"/>
                      <w:i/>
                    </w:rPr>
                  </w:pPr>
                  <w:r w:rsidRPr="00AD6236">
                    <w:rPr>
                      <w:rFonts w:ascii="Cambria" w:hAnsi="Cambria"/>
                      <w:i/>
                    </w:rPr>
                    <w:t>Punti di forza</w:t>
                  </w:r>
                </w:p>
                <w:p w:rsidR="005D6B43" w:rsidRPr="00AD6236" w:rsidRDefault="00DD62AC" w:rsidP="00A90337">
                  <w:pPr>
                    <w:pStyle w:val="Paragrafoelenco"/>
                    <w:numPr>
                      <w:ilvl w:val="0"/>
                      <w:numId w:val="7"/>
                    </w:numPr>
                    <w:ind w:left="454"/>
                    <w:rPr>
                      <w:rFonts w:ascii="Cambria" w:hAnsi="Cambria"/>
                    </w:rPr>
                  </w:pPr>
                  <w:r w:rsidRPr="00AD6236">
                    <w:rPr>
                      <w:rFonts w:ascii="Cambria" w:hAnsi="Cambria"/>
                    </w:rPr>
                    <w:t>Carattere innovativo della formazione</w:t>
                  </w:r>
                  <w:r w:rsidR="00AD6236" w:rsidRPr="00AD6236">
                    <w:rPr>
                      <w:rFonts w:ascii="Cambria" w:hAnsi="Cambria"/>
                    </w:rPr>
                    <w:t xml:space="preserve"> con coinvolgimento di soggetti del territorio diversi da Caritas</w:t>
                  </w:r>
                </w:p>
                <w:p w:rsidR="00AD6236" w:rsidRPr="00AD6236" w:rsidRDefault="00AD6236" w:rsidP="00A90337">
                  <w:pPr>
                    <w:pStyle w:val="Paragrafoelenco"/>
                    <w:numPr>
                      <w:ilvl w:val="0"/>
                      <w:numId w:val="7"/>
                    </w:numPr>
                    <w:ind w:left="454"/>
                    <w:rPr>
                      <w:rFonts w:ascii="Cambria" w:hAnsi="Cambria"/>
                    </w:rPr>
                  </w:pPr>
                  <w:r w:rsidRPr="00AD6236">
                    <w:rPr>
                      <w:rFonts w:ascii="Cambria" w:hAnsi="Cambria"/>
                    </w:rPr>
                    <w:t>Multidisciplinarietà</w:t>
                  </w:r>
                </w:p>
                <w:p w:rsidR="00A90337" w:rsidRDefault="00A90337" w:rsidP="00A90337">
                  <w:pPr>
                    <w:pStyle w:val="Paragrafoelenco"/>
                    <w:numPr>
                      <w:ilvl w:val="0"/>
                      <w:numId w:val="7"/>
                    </w:numPr>
                    <w:ind w:left="454"/>
                    <w:rPr>
                      <w:rFonts w:ascii="Cambria" w:hAnsi="Cambria"/>
                    </w:rPr>
                  </w:pPr>
                  <w:r w:rsidRPr="00AD6236">
                    <w:rPr>
                      <w:rFonts w:ascii="Cambria" w:hAnsi="Cambria"/>
                    </w:rPr>
                    <w:t xml:space="preserve">Dimensione concreta di visita e scoperta delle realtà territoriali </w:t>
                  </w:r>
                </w:p>
                <w:p w:rsidR="002E2927" w:rsidRPr="00AD6236" w:rsidRDefault="002E2927" w:rsidP="00A90337">
                  <w:pPr>
                    <w:pStyle w:val="Paragrafoelenco"/>
                    <w:numPr>
                      <w:ilvl w:val="0"/>
                      <w:numId w:val="7"/>
                    </w:numPr>
                    <w:ind w:left="454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Ampia partnership di respiro europeo</w:t>
                  </w:r>
                </w:p>
                <w:p w:rsidR="00DD62AC" w:rsidRPr="00DF284D" w:rsidRDefault="00DD62AC" w:rsidP="00A90337">
                  <w:pPr>
                    <w:rPr>
                      <w:rFonts w:ascii="Cambria" w:hAnsi="Cambria"/>
                      <w:highlight w:val="yellow"/>
                    </w:rPr>
                  </w:pPr>
                </w:p>
                <w:p w:rsidR="005D6B43" w:rsidRPr="00DF284D" w:rsidRDefault="005D6B43" w:rsidP="00A90337">
                  <w:pPr>
                    <w:rPr>
                      <w:rFonts w:ascii="Cambria" w:hAnsi="Cambria"/>
                      <w:highlight w:val="yellow"/>
                    </w:rPr>
                  </w:pPr>
                </w:p>
                <w:p w:rsidR="005D6B43" w:rsidRPr="00DF284D" w:rsidRDefault="005D6B43" w:rsidP="005D6B43">
                  <w:pPr>
                    <w:jc w:val="center"/>
                    <w:rPr>
                      <w:rFonts w:ascii="Cambria" w:hAnsi="Cambria"/>
                      <w:highlight w:val="yellow"/>
                    </w:rPr>
                  </w:pPr>
                </w:p>
              </w:tc>
              <w:tc>
                <w:tcPr>
                  <w:tcW w:w="4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6B43" w:rsidRPr="002E2927" w:rsidRDefault="005D6B43" w:rsidP="00A90337">
                  <w:pPr>
                    <w:rPr>
                      <w:rFonts w:ascii="Cambria" w:hAnsi="Cambria"/>
                      <w:i/>
                    </w:rPr>
                  </w:pPr>
                  <w:r w:rsidRPr="002E2927">
                    <w:rPr>
                      <w:rFonts w:ascii="Cambria" w:hAnsi="Cambria"/>
                      <w:i/>
                    </w:rPr>
                    <w:t>Punti di debolezza</w:t>
                  </w:r>
                </w:p>
                <w:p w:rsidR="00DD62AC" w:rsidRDefault="00A90337" w:rsidP="00A90337">
                  <w:pPr>
                    <w:pStyle w:val="Paragrafoelenco"/>
                    <w:numPr>
                      <w:ilvl w:val="0"/>
                      <w:numId w:val="7"/>
                    </w:numPr>
                    <w:ind w:left="454"/>
                    <w:rPr>
                      <w:rFonts w:ascii="Cambria" w:hAnsi="Cambria"/>
                    </w:rPr>
                  </w:pPr>
                  <w:r w:rsidRPr="002E2927">
                    <w:rPr>
                      <w:rFonts w:ascii="Cambria" w:hAnsi="Cambria"/>
                    </w:rPr>
                    <w:t xml:space="preserve">Nelle singole study visit si prevedono molte attività  </w:t>
                  </w:r>
                  <w:r w:rsidR="00FD26AC" w:rsidRPr="002E2927">
                    <w:rPr>
                      <w:rFonts w:ascii="Cambria" w:hAnsi="Cambria"/>
                    </w:rPr>
                    <w:t>in poco tempo</w:t>
                  </w:r>
                </w:p>
                <w:p w:rsidR="00FD26AC" w:rsidRPr="002E2927" w:rsidRDefault="002E2927" w:rsidP="002E2927">
                  <w:pPr>
                    <w:pStyle w:val="Paragrafoelenco"/>
                    <w:numPr>
                      <w:ilvl w:val="0"/>
                      <w:numId w:val="7"/>
                    </w:numPr>
                    <w:ind w:left="454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Le singole espressioni territoriali dei partner di progetto possono </w:t>
                  </w:r>
                  <w:r w:rsidR="004E27C1">
                    <w:rPr>
                      <w:rFonts w:ascii="Cambria" w:hAnsi="Cambria"/>
                    </w:rPr>
                    <w:t>far fatica a tenere le fila di un’interlocuzione costante e proficua aldilà dell’organizzazione delle study visit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D6B43" w:rsidRDefault="005D6B43" w:rsidP="005D6B43">
                  <w:pPr>
                    <w:ind w:left="113" w:right="113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Fonti interne (controllabili)</w:t>
                  </w:r>
                </w:p>
              </w:tc>
            </w:tr>
          </w:tbl>
          <w:p w:rsidR="005D6B43" w:rsidRDefault="005D6B43"/>
        </w:tc>
      </w:tr>
      <w:tr w:rsidR="005D6B43" w:rsidTr="006F0547">
        <w:tc>
          <w:tcPr>
            <w:tcW w:w="3828" w:type="dxa"/>
          </w:tcPr>
          <w:p w:rsidR="005D6B43" w:rsidRDefault="005D6B43" w:rsidP="00A0424C">
            <w:r>
              <w:t xml:space="preserve">Esito prodotto, </w:t>
            </w:r>
            <w:r w:rsidR="008C2DB6">
              <w:t xml:space="preserve">cambiamenti realizzati e </w:t>
            </w:r>
            <w:r w:rsidR="0029077C">
              <w:t>eventuali processi generati</w:t>
            </w:r>
            <w:r w:rsidR="000B636A">
              <w:t xml:space="preserve"> </w:t>
            </w:r>
          </w:p>
        </w:tc>
        <w:tc>
          <w:tcPr>
            <w:tcW w:w="6804" w:type="dxa"/>
            <w:gridSpan w:val="2"/>
          </w:tcPr>
          <w:p w:rsidR="005D6B43" w:rsidRDefault="00FD26AC">
            <w:r>
              <w:t xml:space="preserve">Il percorso è ancora in corso ed è difficile </w:t>
            </w:r>
            <w:r w:rsidR="00AD6236">
              <w:t>fare una valutazione di impatto. Di sicuro i singoli gruppi territoriali si sono attivati nel proprio contesto per la costruzione di processi di co-creazione innovativa.</w:t>
            </w:r>
          </w:p>
        </w:tc>
      </w:tr>
      <w:tr w:rsidR="00E44565" w:rsidTr="006F0547">
        <w:tc>
          <w:tcPr>
            <w:tcW w:w="3828" w:type="dxa"/>
          </w:tcPr>
          <w:p w:rsidR="00E44565" w:rsidRDefault="00E44565" w:rsidP="00E44565">
            <w:r>
              <w:t xml:space="preserve">Elementi di trasferibilità e di sostenibilità futura </w:t>
            </w:r>
          </w:p>
        </w:tc>
        <w:tc>
          <w:tcPr>
            <w:tcW w:w="6804" w:type="dxa"/>
            <w:gridSpan w:val="2"/>
          </w:tcPr>
          <w:p w:rsidR="00E44565" w:rsidRPr="00A90337" w:rsidRDefault="00A90337" w:rsidP="00A90337">
            <w:pPr>
              <w:pStyle w:val="Normale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</w:tabs>
              <w:spacing w:after="0" w:line="10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90337">
              <w:rPr>
                <w:rFonts w:asciiTheme="minorHAnsi" w:hAnsiTheme="minorHAnsi"/>
                <w:b/>
                <w:sz w:val="22"/>
                <w:szCs w:val="22"/>
              </w:rPr>
              <w:t>Trasferibilità</w:t>
            </w:r>
          </w:p>
          <w:p w:rsidR="00A90337" w:rsidRPr="00A90337" w:rsidRDefault="00A90337" w:rsidP="00A90337">
            <w:pPr>
              <w:pStyle w:val="Normale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</w:tabs>
              <w:spacing w:after="0" w:line="1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90337">
              <w:rPr>
                <w:rFonts w:asciiTheme="minorHAnsi" w:hAnsiTheme="minorHAnsi"/>
                <w:sz w:val="22"/>
                <w:szCs w:val="22"/>
              </w:rPr>
              <w:t>Si lavora da subito sulla dimensione nazionale, con l’apertura europea sopra descritta per fare in modo che sia dalle azioni comuni (formazione e study visit) sia dalle azioni locali possano emergere indicazioni che possano essere utili ad altri contesti o all’aggregazione di altri territori.</w:t>
            </w:r>
          </w:p>
          <w:p w:rsidR="00A90337" w:rsidRPr="00A90337" w:rsidRDefault="00A90337" w:rsidP="00A90337">
            <w:pPr>
              <w:pStyle w:val="Normale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</w:tabs>
              <w:spacing w:after="0" w:line="1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 questo versante lavora</w:t>
            </w:r>
            <w:r w:rsidRPr="00A90337">
              <w:rPr>
                <w:rFonts w:asciiTheme="minorHAnsi" w:hAnsiTheme="minorHAnsi"/>
                <w:sz w:val="22"/>
                <w:szCs w:val="22"/>
              </w:rPr>
              <w:t xml:space="preserve"> in particolare il Comitato S-NODI, agenzia di sviluppo voluta da Caritas Italiana nel quadro delle azioni di sistema, per sostenere le esperienze innovative di Welfare di comunità con attività di formazione, ricerca e valutazione dei processi.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 particolare si individua la Comunità Professionale Europa come luogo di promozione del percorso così come il network europeo Young Caritas e la Task Force on Social Innovation and Social Economy di Caritas Europa.</w:t>
            </w:r>
          </w:p>
          <w:p w:rsidR="00DF284D" w:rsidRDefault="00DF284D" w:rsidP="00E44565"/>
          <w:p w:rsidR="00DF284D" w:rsidRPr="00A90337" w:rsidRDefault="00DF284D" w:rsidP="00A90337">
            <w:pPr>
              <w:pStyle w:val="Normale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</w:tabs>
              <w:spacing w:after="0" w:line="10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90337">
              <w:rPr>
                <w:rFonts w:asciiTheme="minorHAnsi" w:hAnsiTheme="minorHAnsi"/>
                <w:b/>
                <w:sz w:val="22"/>
                <w:szCs w:val="22"/>
              </w:rPr>
              <w:t>Sostenibilità</w:t>
            </w:r>
          </w:p>
          <w:p w:rsidR="00DF284D" w:rsidRPr="00A90337" w:rsidRDefault="00DF284D" w:rsidP="00A90337">
            <w:pPr>
              <w:pStyle w:val="Normale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</w:tabs>
              <w:spacing w:after="0" w:line="1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90337">
              <w:rPr>
                <w:rFonts w:asciiTheme="minorHAnsi" w:hAnsiTheme="minorHAnsi"/>
                <w:sz w:val="22"/>
                <w:szCs w:val="22"/>
              </w:rPr>
              <w:t>La dimensione della sostenibilità è garantita dalla crescita della coesione economica e sociale,</w:t>
            </w:r>
            <w:r w:rsidR="00A90337" w:rsidRPr="00A90337">
              <w:rPr>
                <w:rFonts w:asciiTheme="minorHAnsi" w:hAnsiTheme="minorHAnsi"/>
                <w:sz w:val="22"/>
                <w:szCs w:val="22"/>
              </w:rPr>
              <w:t xml:space="preserve"> che passa dal favorire la </w:t>
            </w:r>
            <w:r w:rsidRPr="00A90337">
              <w:rPr>
                <w:rFonts w:asciiTheme="minorHAnsi" w:hAnsiTheme="minorHAnsi"/>
                <w:sz w:val="22"/>
                <w:szCs w:val="22"/>
              </w:rPr>
              <w:t>partecipazione dei soggetti individuali e collettivi, pubblici e privati, locali e sovranazional</w:t>
            </w:r>
            <w:r w:rsidR="00A90337" w:rsidRPr="00A90337">
              <w:rPr>
                <w:rFonts w:asciiTheme="minorHAnsi" w:hAnsiTheme="minorHAnsi"/>
                <w:sz w:val="22"/>
                <w:szCs w:val="22"/>
              </w:rPr>
              <w:t xml:space="preserve">i, presenti sul territorio alla </w:t>
            </w:r>
            <w:r w:rsidRPr="00A90337">
              <w:rPr>
                <w:rFonts w:asciiTheme="minorHAnsi" w:hAnsiTheme="minorHAnsi"/>
                <w:sz w:val="22"/>
                <w:szCs w:val="22"/>
              </w:rPr>
              <w:t>definizione delle scelte riferite al territorio. In tal senso il progetto si inserisce nell’alveo di p</w:t>
            </w:r>
            <w:r w:rsidR="00A90337" w:rsidRPr="00A90337">
              <w:rPr>
                <w:rFonts w:asciiTheme="minorHAnsi" w:hAnsiTheme="minorHAnsi"/>
                <w:sz w:val="22"/>
                <w:szCs w:val="22"/>
              </w:rPr>
              <w:t xml:space="preserve">rogetti di community building e </w:t>
            </w:r>
            <w:r w:rsidRPr="00A90337">
              <w:rPr>
                <w:rFonts w:asciiTheme="minorHAnsi" w:hAnsiTheme="minorHAnsi"/>
                <w:sz w:val="22"/>
                <w:szCs w:val="22"/>
              </w:rPr>
              <w:t>rigenerazione urbana che le Caritas coinvolte nel progetto stanno sviluppando nei vari territori locali di riferimento.</w:t>
            </w:r>
          </w:p>
          <w:p w:rsidR="00DF284D" w:rsidRPr="00A90337" w:rsidRDefault="00DF284D" w:rsidP="00A90337">
            <w:pPr>
              <w:pStyle w:val="Normale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</w:tabs>
              <w:spacing w:after="0" w:line="1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90337">
              <w:rPr>
                <w:rFonts w:asciiTheme="minorHAnsi" w:hAnsiTheme="minorHAnsi"/>
                <w:sz w:val="22"/>
                <w:szCs w:val="22"/>
              </w:rPr>
              <w:t>Il progetto è reso inoltre sostenibile attraverso la decentralizzazione sui territori e attraverso l’in</w:t>
            </w:r>
            <w:r w:rsidR="00A90337" w:rsidRPr="00A90337">
              <w:rPr>
                <w:rFonts w:asciiTheme="minorHAnsi" w:hAnsiTheme="minorHAnsi"/>
                <w:sz w:val="22"/>
                <w:szCs w:val="22"/>
              </w:rPr>
              <w:t xml:space="preserve">terazione con i coordinamenti </w:t>
            </w:r>
            <w:r w:rsidRPr="00A90337">
              <w:rPr>
                <w:rFonts w:asciiTheme="minorHAnsi" w:hAnsiTheme="minorHAnsi"/>
                <w:sz w:val="22"/>
                <w:szCs w:val="22"/>
              </w:rPr>
              <w:t>e le reti territoriali, con cui la sede di ascolto e incontro, quale punto di osservazione (osservatorio), dialogherà.</w:t>
            </w:r>
          </w:p>
          <w:p w:rsidR="00DF284D" w:rsidRPr="00A90337" w:rsidRDefault="00DF284D" w:rsidP="00A90337">
            <w:pPr>
              <w:pStyle w:val="Normale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</w:tabs>
              <w:spacing w:after="0" w:line="1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90337">
              <w:rPr>
                <w:rFonts w:asciiTheme="minorHAnsi" w:hAnsiTheme="minorHAnsi"/>
                <w:sz w:val="22"/>
                <w:szCs w:val="22"/>
              </w:rPr>
              <w:t>Inoltre la particolare struttura del progetto, il cui nucleo centrale sono le study visit che apportano val</w:t>
            </w:r>
            <w:r w:rsidR="00A90337" w:rsidRPr="00A90337">
              <w:rPr>
                <w:rFonts w:asciiTheme="minorHAnsi" w:hAnsiTheme="minorHAnsi"/>
                <w:sz w:val="22"/>
                <w:szCs w:val="22"/>
              </w:rPr>
              <w:t xml:space="preserve">ore aggiunto </w:t>
            </w:r>
            <w:r w:rsidRPr="00A90337">
              <w:rPr>
                <w:rFonts w:asciiTheme="minorHAnsi" w:hAnsiTheme="minorHAnsi"/>
                <w:sz w:val="22"/>
                <w:szCs w:val="22"/>
              </w:rPr>
              <w:t xml:space="preserve">sovranazionale ed europeo, garantisce la possibilità di accedere a Programmi Europei </w:t>
            </w:r>
            <w:r w:rsidRPr="00A90337">
              <w:rPr>
                <w:rFonts w:asciiTheme="minorHAnsi" w:hAnsiTheme="minorHAnsi"/>
                <w:sz w:val="22"/>
                <w:szCs w:val="22"/>
              </w:rPr>
              <w:lastRenderedPageBreak/>
              <w:t>per i gi</w:t>
            </w:r>
            <w:r w:rsidR="00A90337" w:rsidRPr="00A90337">
              <w:rPr>
                <w:rFonts w:asciiTheme="minorHAnsi" w:hAnsiTheme="minorHAnsi"/>
                <w:sz w:val="22"/>
                <w:szCs w:val="22"/>
              </w:rPr>
              <w:t xml:space="preserve">ovani in linea con la Strategia </w:t>
            </w:r>
            <w:r w:rsidRPr="00A90337">
              <w:rPr>
                <w:rFonts w:asciiTheme="minorHAnsi" w:hAnsiTheme="minorHAnsi"/>
                <w:sz w:val="22"/>
                <w:szCs w:val="22"/>
              </w:rPr>
              <w:t xml:space="preserve">Europa 2020, come ad esempio il programma Erasmus Plus (Mobilità dei giovani e degli operatori giovanili – Key Action </w:t>
            </w:r>
            <w:r w:rsidR="00A90337" w:rsidRPr="00A90337">
              <w:rPr>
                <w:rFonts w:asciiTheme="minorHAnsi" w:hAnsiTheme="minorHAnsi"/>
                <w:sz w:val="22"/>
                <w:szCs w:val="22"/>
              </w:rPr>
              <w:t xml:space="preserve">1, </w:t>
            </w:r>
            <w:r w:rsidRPr="00A90337">
              <w:rPr>
                <w:rFonts w:asciiTheme="minorHAnsi" w:hAnsiTheme="minorHAnsi"/>
                <w:sz w:val="22"/>
                <w:szCs w:val="22"/>
              </w:rPr>
              <w:t>Partenariati strategici nel settore Gioventù – Key Action 2, Dialogo tra i giovani e i decisori politici –</w:t>
            </w:r>
            <w:r w:rsidR="00A90337" w:rsidRPr="00A90337">
              <w:rPr>
                <w:rFonts w:asciiTheme="minorHAnsi" w:hAnsiTheme="minorHAnsi"/>
                <w:sz w:val="22"/>
                <w:szCs w:val="22"/>
              </w:rPr>
              <w:t xml:space="preserve"> Key Action 3) o il </w:t>
            </w:r>
            <w:r w:rsidRPr="00A90337">
              <w:rPr>
                <w:rFonts w:asciiTheme="minorHAnsi" w:hAnsiTheme="minorHAnsi"/>
                <w:sz w:val="22"/>
                <w:szCs w:val="22"/>
              </w:rPr>
              <w:t>programma Europa per i Cittadini (Strant 2 – Impegno democratico e partecipazione civica). In tal senso i coordinatori del</w:t>
            </w:r>
          </w:p>
          <w:p w:rsidR="00DF284D" w:rsidRDefault="00DF284D" w:rsidP="00A90337">
            <w:pPr>
              <w:pStyle w:val="Normale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</w:tabs>
              <w:spacing w:after="0" w:line="100" w:lineRule="atLeast"/>
              <w:jc w:val="both"/>
            </w:pPr>
            <w:r w:rsidRPr="00A90337">
              <w:rPr>
                <w:rFonts w:asciiTheme="minorHAnsi" w:hAnsiTheme="minorHAnsi"/>
                <w:sz w:val="22"/>
                <w:szCs w:val="22"/>
              </w:rPr>
              <w:t>progetto stanno già ipotizzando la partecipazione ad una delle call 2017 dei due programmi.</w:t>
            </w:r>
          </w:p>
        </w:tc>
      </w:tr>
      <w:tr w:rsidR="005D6B43" w:rsidTr="006F0547">
        <w:tc>
          <w:tcPr>
            <w:tcW w:w="3828" w:type="dxa"/>
          </w:tcPr>
          <w:p w:rsidR="005D6B43" w:rsidRDefault="005D6B43">
            <w:r>
              <w:lastRenderedPageBreak/>
              <w:t>“Dicono di noi” (Testimonianza di un destinatario)</w:t>
            </w:r>
          </w:p>
          <w:p w:rsidR="008C2DB6" w:rsidRDefault="008C2DB6">
            <w:r>
              <w:t>e/o valutazioni raccolte alla fine dell’esperienza</w:t>
            </w:r>
          </w:p>
        </w:tc>
        <w:tc>
          <w:tcPr>
            <w:tcW w:w="6804" w:type="dxa"/>
            <w:gridSpan w:val="2"/>
          </w:tcPr>
          <w:p w:rsidR="005D6B43" w:rsidRDefault="002F4C30" w:rsidP="00E33061">
            <w:pPr>
              <w:rPr>
                <w:sz w:val="22"/>
                <w:szCs w:val="22"/>
              </w:rPr>
            </w:pPr>
            <w:r>
              <w:t xml:space="preserve"> “</w:t>
            </w:r>
            <w:r w:rsidRPr="00AD6236">
              <w:rPr>
                <w:i/>
                <w:sz w:val="22"/>
                <w:szCs w:val="22"/>
              </w:rPr>
              <w:t>È un percorso altamente formativo e stimolante. La varietà di punti di vista è ricchissima!! Incontriamo imprenditori sociali, politici, giornalisti, architetti</w:t>
            </w:r>
            <w:r w:rsidR="00E33061" w:rsidRPr="00AD6236">
              <w:rPr>
                <w:i/>
                <w:sz w:val="22"/>
                <w:szCs w:val="22"/>
              </w:rPr>
              <w:t>, economisti, docenti universitari, comunità</w:t>
            </w:r>
            <w:r w:rsidRPr="00AD6236">
              <w:rPr>
                <w:i/>
                <w:sz w:val="22"/>
                <w:szCs w:val="22"/>
              </w:rPr>
              <w:t>…</w:t>
            </w:r>
            <w:r w:rsidR="00E33061" w:rsidRPr="00AD6236">
              <w:rPr>
                <w:i/>
                <w:sz w:val="22"/>
                <w:szCs w:val="22"/>
              </w:rPr>
              <w:t>.N</w:t>
            </w:r>
            <w:r w:rsidRPr="00AD6236">
              <w:rPr>
                <w:i/>
                <w:sz w:val="22"/>
                <w:szCs w:val="22"/>
              </w:rPr>
              <w:t>o</w:t>
            </w:r>
            <w:r w:rsidR="00E33061" w:rsidRPr="00AD6236">
              <w:rPr>
                <w:i/>
                <w:sz w:val="22"/>
                <w:szCs w:val="22"/>
              </w:rPr>
              <w:t>nostante la specificità di ognuno</w:t>
            </w:r>
            <w:r w:rsidRPr="00AD6236">
              <w:rPr>
                <w:i/>
                <w:sz w:val="22"/>
                <w:szCs w:val="22"/>
              </w:rPr>
              <w:t>, c’è  un elemento che accomuna tutti: un forte entusiasmo e uno sguardo fortemente innovativo. Uno sguardo che esce da una logica di aiuto basata sull’assistenzialismo per adottare una prospettiva che mira</w:t>
            </w:r>
            <w:r>
              <w:rPr>
                <w:sz w:val="22"/>
                <w:szCs w:val="22"/>
              </w:rPr>
              <w:t xml:space="preserve"> </w:t>
            </w:r>
            <w:r w:rsidRPr="00AD6236">
              <w:rPr>
                <w:i/>
                <w:sz w:val="22"/>
                <w:szCs w:val="22"/>
              </w:rPr>
              <w:t>all’attivazione della comunità per la r</w:t>
            </w:r>
            <w:r w:rsidR="00E33061" w:rsidRPr="00AD6236">
              <w:rPr>
                <w:i/>
                <w:sz w:val="22"/>
                <w:szCs w:val="22"/>
              </w:rPr>
              <w:t>isoluzione dei problemi sociali</w:t>
            </w:r>
            <w:r w:rsidR="00E33061">
              <w:rPr>
                <w:sz w:val="22"/>
                <w:szCs w:val="22"/>
              </w:rPr>
              <w:t>” (Anna – Trieste)</w:t>
            </w:r>
            <w:r w:rsidR="00AD6236">
              <w:rPr>
                <w:sz w:val="22"/>
                <w:szCs w:val="22"/>
              </w:rPr>
              <w:t>.</w:t>
            </w:r>
          </w:p>
          <w:p w:rsidR="002E2927" w:rsidRDefault="002E2927" w:rsidP="00E33061">
            <w:pPr>
              <w:rPr>
                <w:sz w:val="22"/>
                <w:szCs w:val="22"/>
              </w:rPr>
            </w:pPr>
          </w:p>
          <w:p w:rsidR="002E2927" w:rsidRDefault="002E2927" w:rsidP="002E29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2E2927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Interessanti le presentazioni delle associazioni, i progetti attivati nei territori che visitiamo, le modalità di intervento adottate e le partnership costruite</w:t>
            </w:r>
            <w:r>
              <w:rPr>
                <w:sz w:val="22"/>
                <w:szCs w:val="22"/>
              </w:rPr>
              <w:t xml:space="preserve">” (Giulia – Torino) </w:t>
            </w:r>
          </w:p>
          <w:p w:rsidR="002E2927" w:rsidRDefault="002E2927" w:rsidP="002E2927">
            <w:pPr>
              <w:pStyle w:val="Default"/>
              <w:rPr>
                <w:sz w:val="22"/>
                <w:szCs w:val="22"/>
              </w:rPr>
            </w:pPr>
          </w:p>
          <w:p w:rsidR="00AD6236" w:rsidRDefault="00AD6236" w:rsidP="00E33061">
            <w:r>
              <w:rPr>
                <w:sz w:val="22"/>
                <w:szCs w:val="22"/>
              </w:rPr>
              <w:t>Esistono al momento valutazioni delle singole study visit</w:t>
            </w:r>
          </w:p>
        </w:tc>
      </w:tr>
      <w:tr w:rsidR="005D6B43" w:rsidTr="006F0547">
        <w:tc>
          <w:tcPr>
            <w:tcW w:w="3828" w:type="dxa"/>
          </w:tcPr>
          <w:p w:rsidR="005D6B43" w:rsidRDefault="005D6B43" w:rsidP="00C309C0">
            <w:r w:rsidRPr="004E27C1">
              <w:t>Bibliografia</w:t>
            </w:r>
            <w:r w:rsidR="00AA1B80" w:rsidRPr="004E27C1">
              <w:t xml:space="preserve"> e fonti </w:t>
            </w:r>
            <w:r w:rsidR="00C309C0" w:rsidRPr="004E27C1">
              <w:t>da cui sono stati tratti spunti per la progettazione, metodologie, strumenti.</w:t>
            </w:r>
          </w:p>
        </w:tc>
        <w:tc>
          <w:tcPr>
            <w:tcW w:w="6804" w:type="dxa"/>
            <w:gridSpan w:val="2"/>
          </w:tcPr>
          <w:p w:rsidR="005D6B43" w:rsidRPr="004E27C1" w:rsidRDefault="004E27C1" w:rsidP="004E27C1">
            <w:pPr>
              <w:pStyle w:val="Normale1"/>
              <w:numPr>
                <w:ilvl w:val="0"/>
                <w:numId w:val="4"/>
              </w:num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</w:tabs>
              <w:spacing w:after="0" w:line="100" w:lineRule="atLeast"/>
              <w:ind w:left="204" w:hanging="23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E27C1">
              <w:rPr>
                <w:rFonts w:asciiTheme="minorHAnsi" w:hAnsiTheme="minorHAnsi"/>
                <w:sz w:val="22"/>
                <w:szCs w:val="22"/>
              </w:rPr>
              <w:t>Mauro Magatti, Chiara Giaccardi, Generativi di tutto il mondo unitevi, Feltrinelli, 2014</w:t>
            </w:r>
          </w:p>
          <w:p w:rsidR="004E27C1" w:rsidRPr="004E27C1" w:rsidRDefault="004E27C1" w:rsidP="004E27C1">
            <w:pPr>
              <w:pStyle w:val="Normale1"/>
              <w:numPr>
                <w:ilvl w:val="0"/>
                <w:numId w:val="4"/>
              </w:num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</w:tabs>
              <w:spacing w:after="0" w:line="100" w:lineRule="atLeast"/>
              <w:ind w:left="204" w:hanging="232"/>
              <w:jc w:val="both"/>
            </w:pPr>
            <w:r w:rsidRPr="004E27C1">
              <w:rPr>
                <w:rFonts w:asciiTheme="minorHAnsi" w:hAnsiTheme="minorHAnsi"/>
                <w:sz w:val="22"/>
                <w:szCs w:val="22"/>
              </w:rPr>
              <w:t>Archivio della Generatività</w:t>
            </w:r>
          </w:p>
          <w:p w:rsidR="004E27C1" w:rsidRDefault="004E27C1" w:rsidP="004E27C1">
            <w:pPr>
              <w:pStyle w:val="Normale1"/>
              <w:numPr>
                <w:ilvl w:val="0"/>
                <w:numId w:val="4"/>
              </w:num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</w:tabs>
              <w:spacing w:after="0" w:line="100" w:lineRule="atLeast"/>
              <w:ind w:left="204" w:hanging="232"/>
              <w:jc w:val="both"/>
            </w:pPr>
            <w:r>
              <w:rPr>
                <w:rFonts w:asciiTheme="minorHAnsi" w:hAnsiTheme="minorHAnsi"/>
                <w:sz w:val="22"/>
                <w:szCs w:val="22"/>
              </w:rPr>
              <w:t>Caritas Italiana, Innovazione Sociale Caritas, Elementi di innovazione sociale negli interventi della Caritas in Italiana</w:t>
            </w:r>
          </w:p>
        </w:tc>
      </w:tr>
    </w:tbl>
    <w:p w:rsidR="005F4BB9" w:rsidRDefault="005F4BB9"/>
    <w:tbl>
      <w:tblPr>
        <w:tblStyle w:val="Grigliatabella"/>
        <w:tblW w:w="10632" w:type="dxa"/>
        <w:tblInd w:w="-318" w:type="dxa"/>
        <w:tblLook w:val="04A0"/>
      </w:tblPr>
      <w:tblGrid>
        <w:gridCol w:w="3828"/>
        <w:gridCol w:w="6804"/>
      </w:tblGrid>
      <w:tr w:rsidR="00460A57" w:rsidRPr="00460A57" w:rsidTr="006F0547">
        <w:tc>
          <w:tcPr>
            <w:tcW w:w="10632" w:type="dxa"/>
            <w:gridSpan w:val="2"/>
          </w:tcPr>
          <w:p w:rsidR="00460A57" w:rsidRPr="00460A57" w:rsidRDefault="00460A57" w:rsidP="00460A57">
            <w:pPr>
              <w:jc w:val="center"/>
              <w:rPr>
                <w:b/>
              </w:rPr>
            </w:pPr>
            <w:r w:rsidRPr="00460A57">
              <w:rPr>
                <w:b/>
              </w:rPr>
              <w:t>Elementi aggiuntivi di riflessione</w:t>
            </w:r>
          </w:p>
        </w:tc>
      </w:tr>
      <w:tr w:rsidR="00460A57" w:rsidTr="006F0547">
        <w:tc>
          <w:tcPr>
            <w:tcW w:w="3828" w:type="dxa"/>
          </w:tcPr>
          <w:p w:rsidR="00460A57" w:rsidRDefault="00E44565" w:rsidP="00E44565">
            <w:r w:rsidRPr="004E27C1">
              <w:t>C</w:t>
            </w:r>
            <w:r w:rsidR="005C77CD" w:rsidRPr="004E27C1">
              <w:t xml:space="preserve">osa </w:t>
            </w:r>
            <w:r w:rsidRPr="004E27C1">
              <w:t xml:space="preserve">questa esperienza </w:t>
            </w:r>
            <w:r w:rsidR="005C77CD" w:rsidRPr="004E27C1">
              <w:t>mi ha permesso di capire, come mi ha cambiato</w:t>
            </w:r>
            <w:r w:rsidRPr="004E27C1">
              <w:t>,…</w:t>
            </w:r>
          </w:p>
        </w:tc>
        <w:tc>
          <w:tcPr>
            <w:tcW w:w="6804" w:type="dxa"/>
          </w:tcPr>
          <w:p w:rsidR="00460A57" w:rsidRDefault="004E27C1">
            <w:r>
              <w:t>Il percorso è ancora in corso ed è difficile fare una valutazione sui possibili cambiamenti. Di sicuro si nota un cambio di paradigma nella costruzione dei processi formativi.</w:t>
            </w:r>
          </w:p>
        </w:tc>
      </w:tr>
    </w:tbl>
    <w:p w:rsidR="00143E6E" w:rsidRDefault="00143E6E" w:rsidP="00143E6E"/>
    <w:sectPr w:rsidR="00143E6E" w:rsidSect="00287E6A">
      <w:pgSz w:w="11900" w:h="16840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altName w:val="Arial"/>
    <w:charset w:val="00"/>
    <w:family w:val="swiss"/>
    <w:pitch w:val="variable"/>
    <w:sig w:usb0="00000001" w:usb1="4000A47B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skerville Old Face">
    <w:charset w:val="00"/>
    <w:family w:val="auto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1603"/>
    <w:multiLevelType w:val="hybridMultilevel"/>
    <w:tmpl w:val="936032CC"/>
    <w:lvl w:ilvl="0" w:tplc="74F67B16">
      <w:numFmt w:val="bullet"/>
      <w:lvlText w:val="-"/>
      <w:lvlJc w:val="left"/>
      <w:pPr>
        <w:ind w:left="720" w:hanging="360"/>
      </w:pPr>
      <w:rPr>
        <w:rFonts w:ascii="Cambria" w:eastAsia="Arial Unicode MS" w:hAnsi="Cambria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F2C31"/>
    <w:multiLevelType w:val="hybridMultilevel"/>
    <w:tmpl w:val="C02E1EA2"/>
    <w:lvl w:ilvl="0" w:tplc="73EECCFE">
      <w:numFmt w:val="bullet"/>
      <w:lvlText w:val="-"/>
      <w:lvlJc w:val="left"/>
      <w:pPr>
        <w:ind w:left="720" w:hanging="360"/>
      </w:pPr>
      <w:rPr>
        <w:rFonts w:ascii="Segoe UI Light" w:eastAsiaTheme="minorEastAsia" w:hAnsi="Segoe UI Light" w:cs="Segoe U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D7C60"/>
    <w:multiLevelType w:val="hybridMultilevel"/>
    <w:tmpl w:val="E8606818"/>
    <w:lvl w:ilvl="0" w:tplc="F332584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84524"/>
    <w:multiLevelType w:val="hybridMultilevel"/>
    <w:tmpl w:val="982A1FC8"/>
    <w:lvl w:ilvl="0" w:tplc="DCC2BE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F7E2D"/>
    <w:multiLevelType w:val="hybridMultilevel"/>
    <w:tmpl w:val="D0B2C52E"/>
    <w:lvl w:ilvl="0" w:tplc="72FA7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A23EE"/>
    <w:multiLevelType w:val="hybridMultilevel"/>
    <w:tmpl w:val="4398997C"/>
    <w:lvl w:ilvl="0" w:tplc="DCC2BE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A112B"/>
    <w:multiLevelType w:val="hybridMultilevel"/>
    <w:tmpl w:val="1AEAE14E"/>
    <w:lvl w:ilvl="0" w:tplc="DCC2BE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E4C98"/>
    <w:multiLevelType w:val="hybridMultilevel"/>
    <w:tmpl w:val="9820A220"/>
    <w:lvl w:ilvl="0" w:tplc="CBF63A3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>
    <w:useFELayout/>
  </w:compat>
  <w:rsids>
    <w:rsidRoot w:val="005D6B43"/>
    <w:rsid w:val="000B636A"/>
    <w:rsid w:val="00143E6E"/>
    <w:rsid w:val="002256FE"/>
    <w:rsid w:val="002779DA"/>
    <w:rsid w:val="002866F5"/>
    <w:rsid w:val="00287E6A"/>
    <w:rsid w:val="0029077C"/>
    <w:rsid w:val="002E2927"/>
    <w:rsid w:val="002F4C30"/>
    <w:rsid w:val="00460A57"/>
    <w:rsid w:val="004712BC"/>
    <w:rsid w:val="0049320E"/>
    <w:rsid w:val="004E27C1"/>
    <w:rsid w:val="005C228A"/>
    <w:rsid w:val="005C335D"/>
    <w:rsid w:val="005C77CD"/>
    <w:rsid w:val="005D6B43"/>
    <w:rsid w:val="005F4BB9"/>
    <w:rsid w:val="005F5633"/>
    <w:rsid w:val="006D57CB"/>
    <w:rsid w:val="006F0547"/>
    <w:rsid w:val="007C05CA"/>
    <w:rsid w:val="008C2DB6"/>
    <w:rsid w:val="008D658B"/>
    <w:rsid w:val="009B5D3F"/>
    <w:rsid w:val="00A0424C"/>
    <w:rsid w:val="00A90337"/>
    <w:rsid w:val="00AA1B80"/>
    <w:rsid w:val="00AD6236"/>
    <w:rsid w:val="00AF5EB9"/>
    <w:rsid w:val="00B612B7"/>
    <w:rsid w:val="00C309C0"/>
    <w:rsid w:val="00CD67E0"/>
    <w:rsid w:val="00D97A7B"/>
    <w:rsid w:val="00DC7B66"/>
    <w:rsid w:val="00DD62AC"/>
    <w:rsid w:val="00DF284D"/>
    <w:rsid w:val="00E33061"/>
    <w:rsid w:val="00E44565"/>
    <w:rsid w:val="00EB2225"/>
    <w:rsid w:val="00FD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6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D6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28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28A"/>
    <w:rPr>
      <w:rFonts w:ascii="Segoe UI" w:hAnsi="Segoe UI" w:cs="Segoe UI"/>
      <w:sz w:val="18"/>
      <w:szCs w:val="18"/>
    </w:rPr>
  </w:style>
  <w:style w:type="paragraph" w:customStyle="1" w:styleId="Normale1">
    <w:name w:val="Normale1"/>
    <w:rsid w:val="005C228A"/>
    <w:pPr>
      <w:suppressAutoHyphens/>
      <w:spacing w:after="180" w:line="271" w:lineRule="auto"/>
    </w:pPr>
    <w:rPr>
      <w:rFonts w:ascii="Lucida Grande" w:eastAsia="Arial Unicode MS" w:hAnsi="Lucida Grande" w:cs="Arial Unicode MS"/>
      <w:color w:val="000000"/>
      <w:sz w:val="21"/>
      <w:szCs w:val="21"/>
      <w:lang w:eastAsia="ar-SA"/>
    </w:rPr>
  </w:style>
  <w:style w:type="paragraph" w:styleId="Paragrafoelenco">
    <w:name w:val="List Paragraph"/>
    <w:basedOn w:val="Normale"/>
    <w:uiPriority w:val="34"/>
    <w:qFormat/>
    <w:rsid w:val="005C228A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2F4C3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idipagina">
    <w:name w:val="footer"/>
    <w:basedOn w:val="Normale"/>
    <w:link w:val="PidipaginaCarattere"/>
    <w:rsid w:val="009B5D3F"/>
    <w:pPr>
      <w:tabs>
        <w:tab w:val="center" w:pos="4680"/>
        <w:tab w:val="right" w:pos="9360"/>
      </w:tabs>
      <w:spacing w:before="200" w:after="160" w:line="259" w:lineRule="auto"/>
      <w:jc w:val="right"/>
    </w:pPr>
    <w:rPr>
      <w:rFonts w:ascii="Baskerville Old Face" w:eastAsia="MS PMincho" w:hAnsi="Baskerville Old Face" w:cs="Times New Roman"/>
      <w:color w:val="377933"/>
      <w:sz w:val="20"/>
      <w:szCs w:val="20"/>
      <w:lang/>
    </w:rPr>
  </w:style>
  <w:style w:type="character" w:customStyle="1" w:styleId="PidipaginaCarattere">
    <w:name w:val="Piè di pagina Carattere"/>
    <w:basedOn w:val="Carpredefinitoparagrafo"/>
    <w:link w:val="Pidipagina"/>
    <w:rsid w:val="009B5D3F"/>
    <w:rPr>
      <w:rFonts w:ascii="Baskerville Old Face" w:eastAsia="MS PMincho" w:hAnsi="Baskerville Old Face" w:cs="Times New Roman"/>
      <w:color w:val="377933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D6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28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C228A"/>
    <w:rPr>
      <w:rFonts w:ascii="Segoe UI" w:hAnsi="Segoe UI" w:cs="Segoe UI"/>
      <w:sz w:val="18"/>
      <w:szCs w:val="18"/>
    </w:rPr>
  </w:style>
  <w:style w:type="paragraph" w:customStyle="1" w:styleId="Normale1">
    <w:name w:val="Normale1"/>
    <w:rsid w:val="005C228A"/>
    <w:pPr>
      <w:suppressAutoHyphens/>
      <w:spacing w:after="180" w:line="271" w:lineRule="auto"/>
    </w:pPr>
    <w:rPr>
      <w:rFonts w:ascii="Lucida Grande" w:eastAsia="Arial Unicode MS" w:hAnsi="Lucida Grande" w:cs="Arial Unicode MS"/>
      <w:color w:val="000000"/>
      <w:sz w:val="21"/>
      <w:szCs w:val="21"/>
      <w:lang w:eastAsia="ar-SA"/>
    </w:rPr>
  </w:style>
  <w:style w:type="paragraph" w:styleId="Paragrafoelenco">
    <w:name w:val="List Paragraph"/>
    <w:basedOn w:val="Normale"/>
    <w:uiPriority w:val="34"/>
    <w:qFormat/>
    <w:rsid w:val="005C228A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2F4C3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idipagina">
    <w:name w:val="footer"/>
    <w:basedOn w:val="Normale"/>
    <w:link w:val="PidipaginaCarattere"/>
    <w:rsid w:val="009B5D3F"/>
    <w:pPr>
      <w:tabs>
        <w:tab w:val="center" w:pos="4680"/>
        <w:tab w:val="right" w:pos="9360"/>
      </w:tabs>
      <w:spacing w:before="200" w:after="160" w:line="259" w:lineRule="auto"/>
      <w:jc w:val="right"/>
    </w:pPr>
    <w:rPr>
      <w:rFonts w:ascii="Baskerville Old Face" w:eastAsia="MS PMincho" w:hAnsi="Baskerville Old Face" w:cs="Times New Roman"/>
      <w:color w:val="377933"/>
      <w:sz w:val="20"/>
      <w:szCs w:val="20"/>
      <w:lang w:val="x-none" w:eastAsia="x-none"/>
    </w:rPr>
  </w:style>
  <w:style w:type="character" w:customStyle="1" w:styleId="PidipaginaCarattere">
    <w:name w:val="Piè di pagina Carattere"/>
    <w:basedOn w:val="Caratterepredefinitoparagrafo"/>
    <w:link w:val="Pidipagina"/>
    <w:rsid w:val="009B5D3F"/>
    <w:rPr>
      <w:rFonts w:ascii="Baskerville Old Face" w:eastAsia="MS PMincho" w:hAnsi="Baskerville Old Face" w:cs="Times New Roman"/>
      <w:color w:val="377933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Ufficio Animazione</cp:lastModifiedBy>
  <cp:revision>2</cp:revision>
  <cp:lastPrinted>2017-04-03T08:59:00Z</cp:lastPrinted>
  <dcterms:created xsi:type="dcterms:W3CDTF">2017-08-24T08:21:00Z</dcterms:created>
  <dcterms:modified xsi:type="dcterms:W3CDTF">2017-08-24T08:21:00Z</dcterms:modified>
</cp:coreProperties>
</file>